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E4DA" w14:textId="77777777" w:rsidR="00485B14" w:rsidRPr="00DC7D80" w:rsidRDefault="00485B14" w:rsidP="00B9381E">
      <w:pPr>
        <w:shd w:val="clear" w:color="auto" w:fill="FFFFFF"/>
        <w:spacing w:after="150"/>
        <w:jc w:val="center"/>
        <w:rPr>
          <w:rFonts w:eastAsia="Times New Roman" w:cs="Times New Roman"/>
          <w:b/>
          <w:color w:val="000000" w:themeColor="text1"/>
        </w:rPr>
      </w:pPr>
      <w:r w:rsidRPr="00DC7D80">
        <w:rPr>
          <w:rFonts w:eastAsia="Times New Roman" w:cs="Arial"/>
          <w:b/>
          <w:color w:val="000000" w:themeColor="text1"/>
          <w:u w:val="single"/>
        </w:rPr>
        <w:t>Catch up program post COVID 19</w:t>
      </w:r>
    </w:p>
    <w:p w14:paraId="68143D4F" w14:textId="0463DFCC"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Following the lockdown on March 28th due to COVID 19 the children had to adapt as learners and rely on home schooling, remote teacher support and a reduced amount of face to face teaching from their class teacher. This inevitably meant that many children have gaps in their knowledge from the previous year group when they returned in September. </w:t>
      </w:r>
    </w:p>
    <w:p w14:paraId="6B80EFCA" w14:textId="0511CA00"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 xml:space="preserve">At </w:t>
      </w:r>
      <w:r w:rsidR="000132D4">
        <w:rPr>
          <w:rFonts w:eastAsia="Times New Roman" w:cs="Arial"/>
          <w:color w:val="000000" w:themeColor="text1"/>
        </w:rPr>
        <w:t xml:space="preserve">Sandringham and West Newton and Flitcham </w:t>
      </w:r>
      <w:r w:rsidRPr="00DC7D80">
        <w:rPr>
          <w:rFonts w:eastAsia="Times New Roman" w:cs="Arial"/>
          <w:color w:val="000000" w:themeColor="text1"/>
        </w:rPr>
        <w:t xml:space="preserve">Primary Academies, we have constructed a ‘catch-up’ plan to ensure children catch up on any lost learning time and potential gaps in knowledge. This plan will focus on quality first teaching, empowering our team of </w:t>
      </w:r>
      <w:r w:rsidR="00B9381E" w:rsidRPr="00DC7D80">
        <w:rPr>
          <w:rFonts w:eastAsia="Times New Roman" w:cs="Arial"/>
          <w:color w:val="000000" w:themeColor="text1"/>
        </w:rPr>
        <w:t>‘</w:t>
      </w:r>
      <w:r w:rsidRPr="00DC7D80">
        <w:rPr>
          <w:rFonts w:eastAsia="Times New Roman" w:cs="Arial"/>
          <w:color w:val="000000" w:themeColor="text1"/>
        </w:rPr>
        <w:t>tutors</w:t>
      </w:r>
      <w:r w:rsidR="00B9381E" w:rsidRPr="00DC7D80">
        <w:rPr>
          <w:rFonts w:eastAsia="Times New Roman" w:cs="Arial"/>
          <w:color w:val="000000" w:themeColor="text1"/>
        </w:rPr>
        <w:t>’(teachers and TAs)</w:t>
      </w:r>
      <w:r w:rsidRPr="00DC7D80">
        <w:rPr>
          <w:rFonts w:eastAsia="Times New Roman" w:cs="Arial"/>
          <w:color w:val="000000" w:themeColor="text1"/>
        </w:rPr>
        <w:t xml:space="preserve"> by providing high quality training, specific year group ‘gap’ filling, classroom intervention and small group targeted support with the child’s health and well-being at the centre of all we do. </w:t>
      </w:r>
    </w:p>
    <w:p w14:paraId="412CB4D8" w14:textId="77777777"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b/>
          <w:bCs/>
          <w:color w:val="000000" w:themeColor="text1"/>
          <w:u w:val="single"/>
        </w:rPr>
        <w:t>What is the ‘catch-up’ premium funding?</w:t>
      </w:r>
    </w:p>
    <w:p w14:paraId="6B22A12D" w14:textId="77777777"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 Schools should use this funding for specific activities to support their pupils to catch up for lost teaching over the previous months and have the flexibility to spend  their funding in the best way for their children and circumstances.</w:t>
      </w:r>
    </w:p>
    <w:p w14:paraId="2A8E2BF7" w14:textId="4F730902" w:rsidR="00485B14" w:rsidRPr="00DC7D80" w:rsidRDefault="000132D4" w:rsidP="00B9381E">
      <w:pPr>
        <w:shd w:val="clear" w:color="auto" w:fill="FFFFFF"/>
        <w:spacing w:after="150"/>
        <w:jc w:val="both"/>
        <w:rPr>
          <w:rFonts w:eastAsia="Times New Roman" w:cs="Times New Roman"/>
          <w:color w:val="000000" w:themeColor="text1"/>
        </w:rPr>
      </w:pPr>
      <w:r>
        <w:rPr>
          <w:rFonts w:eastAsia="Times New Roman" w:cs="Arial"/>
          <w:color w:val="000000" w:themeColor="text1"/>
        </w:rPr>
        <w:t xml:space="preserve">Sandringham and West Newton and Flitcham </w:t>
      </w:r>
      <w:r w:rsidR="00B9381E" w:rsidRPr="00DC7D80">
        <w:rPr>
          <w:rFonts w:eastAsia="Times New Roman" w:cs="Arial"/>
          <w:color w:val="000000" w:themeColor="text1"/>
        </w:rPr>
        <w:t xml:space="preserve"> </w:t>
      </w:r>
      <w:r w:rsidR="00485B14" w:rsidRPr="00DC7D80">
        <w:rPr>
          <w:rFonts w:eastAsia="Times New Roman" w:cs="Arial"/>
          <w:color w:val="000000" w:themeColor="text1"/>
        </w:rPr>
        <w:t>ha</w:t>
      </w:r>
      <w:r w:rsidR="0024517B" w:rsidRPr="00DC7D80">
        <w:rPr>
          <w:rFonts w:eastAsia="Times New Roman" w:cs="Arial"/>
          <w:color w:val="000000" w:themeColor="text1"/>
        </w:rPr>
        <w:t>ve</w:t>
      </w:r>
      <w:r w:rsidR="00485B14" w:rsidRPr="00DC7D80">
        <w:rPr>
          <w:rFonts w:eastAsia="Times New Roman" w:cs="Arial"/>
          <w:color w:val="000000" w:themeColor="text1"/>
        </w:rPr>
        <w:t xml:space="preserve"> been allocated additional ‘catch-up’ funding to support interventions designed to close gaps in attainment for this academic year.</w:t>
      </w:r>
    </w:p>
    <w:p w14:paraId="2B397CDF" w14:textId="77777777"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b/>
          <w:bCs/>
          <w:color w:val="000000" w:themeColor="text1"/>
        </w:rPr>
        <w:t>How will spending decisions about interventions be made?</w:t>
      </w:r>
    </w:p>
    <w:p w14:paraId="57783E31" w14:textId="118AE729"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 xml:space="preserve">Since July, leaders in school have been following best practice guidance documents and approaches published by the DfE (Department for Education) and the Education Endowment Foundation (EEF) to ensure the additional funding is directed in the most effective way (see Appendix 1). Approaches taken by the school will be driven by our detailed knowledge of children’s current attainment and will draw upon approaches that are evidence-based </w:t>
      </w:r>
      <w:r w:rsidR="00B9381E" w:rsidRPr="00DC7D80">
        <w:rPr>
          <w:rFonts w:eastAsia="Times New Roman" w:cs="Arial"/>
          <w:color w:val="000000" w:themeColor="text1"/>
        </w:rPr>
        <w:t>and</w:t>
      </w:r>
      <w:r w:rsidRPr="00DC7D80">
        <w:rPr>
          <w:rFonts w:eastAsia="Times New Roman" w:cs="Arial"/>
          <w:color w:val="000000" w:themeColor="text1"/>
        </w:rPr>
        <w:t xml:space="preserve"> are proven to have a positive impact on closing gaps.</w:t>
      </w:r>
    </w:p>
    <w:p w14:paraId="2925FB44" w14:textId="0AD2A3B4"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 xml:space="preserve">The catch-up programme will link closely to the school </w:t>
      </w:r>
      <w:r w:rsidR="00B9381E" w:rsidRPr="00DC7D80">
        <w:rPr>
          <w:rFonts w:eastAsia="Times New Roman" w:cs="Arial"/>
          <w:color w:val="000000" w:themeColor="text1"/>
        </w:rPr>
        <w:t>single change</w:t>
      </w:r>
      <w:r w:rsidRPr="00DC7D80">
        <w:rPr>
          <w:rFonts w:eastAsia="Times New Roman" w:cs="Arial"/>
          <w:color w:val="000000" w:themeColor="text1"/>
        </w:rPr>
        <w:t xml:space="preserve"> plans and Pupil Premium Strategy. Leaders must be able to account for how money is being used to achieve the goal of ‘catch-up’</w:t>
      </w:r>
      <w:r w:rsidR="007F74E4" w:rsidRPr="00DC7D80">
        <w:rPr>
          <w:rFonts w:eastAsia="Times New Roman" w:cs="Arial"/>
          <w:color w:val="000000" w:themeColor="text1"/>
        </w:rPr>
        <w:t>.</w:t>
      </w:r>
      <w:r w:rsidRPr="00DC7D80">
        <w:rPr>
          <w:rFonts w:eastAsia="Times New Roman" w:cs="Arial"/>
          <w:color w:val="000000" w:themeColor="text1"/>
        </w:rPr>
        <w:t xml:space="preserve"> </w:t>
      </w:r>
    </w:p>
    <w:p w14:paraId="31251D5F" w14:textId="77777777"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b/>
          <w:bCs/>
          <w:color w:val="000000" w:themeColor="text1"/>
        </w:rPr>
        <w:t>Quality First Teaching</w:t>
      </w:r>
    </w:p>
    <w:p w14:paraId="7A572726" w14:textId="52452EEA"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 xml:space="preserve">The curriculum will be adapted to focus on the key skills and knowledge that children need in order to access the wider curriculum. Teachers will focus on embedding these key facts in the first two terms for all core subjects whilst still teaching a smaller percentage of non-core subjects. All </w:t>
      </w:r>
      <w:r w:rsidRPr="00DC7D80">
        <w:rPr>
          <w:rFonts w:eastAsia="Times New Roman" w:cs="Arial"/>
          <w:color w:val="000000" w:themeColor="text1"/>
        </w:rPr>
        <w:lastRenderedPageBreak/>
        <w:t xml:space="preserve">teaching will take into account the children’s ability on return from the summer term 2020 and planning will be tailored to their needs. </w:t>
      </w:r>
      <w:r w:rsidR="007F74E4" w:rsidRPr="00DC7D80">
        <w:rPr>
          <w:rFonts w:eastAsia="Times New Roman" w:cs="Arial"/>
          <w:color w:val="000000" w:themeColor="text1"/>
        </w:rPr>
        <w:t>In the Autumn term</w:t>
      </w:r>
      <w:r w:rsidRPr="00DC7D80">
        <w:rPr>
          <w:rFonts w:eastAsia="Times New Roman" w:cs="Arial"/>
          <w:color w:val="000000" w:themeColor="text1"/>
        </w:rPr>
        <w:t xml:space="preserve"> </w:t>
      </w:r>
      <w:r w:rsidR="00B9381E" w:rsidRPr="00DC7D80">
        <w:rPr>
          <w:rFonts w:eastAsia="Times New Roman" w:cs="Arial"/>
          <w:color w:val="000000" w:themeColor="text1"/>
        </w:rPr>
        <w:t xml:space="preserve">we </w:t>
      </w:r>
      <w:r w:rsidRPr="00DC7D80">
        <w:rPr>
          <w:rFonts w:eastAsia="Times New Roman" w:cs="Arial"/>
          <w:color w:val="000000" w:themeColor="text1"/>
        </w:rPr>
        <w:t xml:space="preserve">will </w:t>
      </w:r>
      <w:r w:rsidR="00B9381E" w:rsidRPr="00DC7D80">
        <w:rPr>
          <w:rFonts w:eastAsia="Times New Roman" w:cs="Arial"/>
          <w:color w:val="000000" w:themeColor="text1"/>
        </w:rPr>
        <w:t xml:space="preserve">also </w:t>
      </w:r>
      <w:r w:rsidRPr="00DC7D80">
        <w:rPr>
          <w:rFonts w:eastAsia="Times New Roman" w:cs="Arial"/>
          <w:color w:val="000000" w:themeColor="text1"/>
        </w:rPr>
        <w:t>concentrate on wellbeing</w:t>
      </w:r>
      <w:r w:rsidR="003024C2">
        <w:rPr>
          <w:rFonts w:eastAsia="Times New Roman" w:cs="Arial"/>
          <w:color w:val="000000" w:themeColor="text1"/>
        </w:rPr>
        <w:t xml:space="preserve"> with the introduction of the PATHS programme</w:t>
      </w:r>
      <w:r w:rsidRPr="00DC7D80">
        <w:rPr>
          <w:rFonts w:eastAsia="Times New Roman" w:cs="Arial"/>
          <w:color w:val="000000" w:themeColor="text1"/>
        </w:rPr>
        <w:t xml:space="preserve">. The </w:t>
      </w:r>
      <w:r w:rsidR="00B9381E" w:rsidRPr="00DC7D80">
        <w:rPr>
          <w:rFonts w:eastAsia="Times New Roman" w:cs="Arial"/>
          <w:color w:val="000000" w:themeColor="text1"/>
        </w:rPr>
        <w:t>Autumn Term</w:t>
      </w:r>
      <w:r w:rsidRPr="00DC7D80">
        <w:rPr>
          <w:rFonts w:eastAsia="Times New Roman" w:cs="Arial"/>
          <w:color w:val="000000" w:themeColor="text1"/>
        </w:rPr>
        <w:t xml:space="preserve"> will see the completion of a range of formal and informal tests to support the teachers planning.  The teaching will be monitored by the SLT each half term to ensure high quality of teaching across the school.</w:t>
      </w:r>
    </w:p>
    <w:p w14:paraId="6E70B01A" w14:textId="77777777" w:rsidR="00B9381E" w:rsidRPr="00DC7D80" w:rsidRDefault="00B9381E" w:rsidP="00B9381E">
      <w:pPr>
        <w:shd w:val="clear" w:color="auto" w:fill="FFFFFF"/>
        <w:spacing w:after="150"/>
        <w:jc w:val="both"/>
        <w:rPr>
          <w:rFonts w:eastAsia="Times New Roman" w:cs="Arial"/>
          <w:b/>
          <w:bCs/>
          <w:color w:val="000000" w:themeColor="text1"/>
        </w:rPr>
      </w:pPr>
    </w:p>
    <w:p w14:paraId="26E57EC4" w14:textId="77777777" w:rsidR="00B9381E" w:rsidRPr="00DC7D80" w:rsidRDefault="00B9381E" w:rsidP="00B9381E">
      <w:pPr>
        <w:shd w:val="clear" w:color="auto" w:fill="FFFFFF"/>
        <w:spacing w:after="150"/>
        <w:jc w:val="both"/>
        <w:rPr>
          <w:rFonts w:eastAsia="Times New Roman" w:cs="Arial"/>
          <w:b/>
          <w:bCs/>
          <w:color w:val="000000" w:themeColor="text1"/>
        </w:rPr>
      </w:pPr>
    </w:p>
    <w:p w14:paraId="7C85C34E" w14:textId="7420BC52" w:rsidR="00485B14" w:rsidRPr="00DC7D80" w:rsidRDefault="00485B14" w:rsidP="00DC7D80">
      <w:pPr>
        <w:shd w:val="clear" w:color="auto" w:fill="FFFFFF"/>
        <w:spacing w:after="150"/>
        <w:jc w:val="center"/>
        <w:rPr>
          <w:rFonts w:eastAsia="Times New Roman" w:cs="Times New Roman"/>
          <w:color w:val="000000" w:themeColor="text1"/>
        </w:rPr>
      </w:pPr>
      <w:r w:rsidRPr="00DC7D80">
        <w:rPr>
          <w:rFonts w:eastAsia="Times New Roman" w:cs="Arial"/>
          <w:b/>
          <w:bCs/>
          <w:color w:val="000000" w:themeColor="text1"/>
        </w:rPr>
        <w:t>Classroom intervention</w:t>
      </w:r>
    </w:p>
    <w:p w14:paraId="32A273C2" w14:textId="6839D485"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 xml:space="preserve">There will be a Teaching Assistant </w:t>
      </w:r>
      <w:r w:rsidR="007F74E4" w:rsidRPr="00DC7D80">
        <w:rPr>
          <w:rFonts w:eastAsia="Times New Roman" w:cs="Arial"/>
          <w:color w:val="000000" w:themeColor="text1"/>
        </w:rPr>
        <w:t xml:space="preserve">available </w:t>
      </w:r>
      <w:r w:rsidRPr="00DC7D80">
        <w:rPr>
          <w:rFonts w:eastAsia="Times New Roman" w:cs="Arial"/>
          <w:color w:val="000000" w:themeColor="text1"/>
        </w:rPr>
        <w:t xml:space="preserve">in each class bubble to support the children at most risk of falling behind or further behind. These children will be planned for by the teacher and then work with the support of the TA in the class to allow for smaller ratios and more targeted intervention. Intervention records will be kept and </w:t>
      </w:r>
      <w:r w:rsidR="000132D4">
        <w:rPr>
          <w:rFonts w:eastAsia="Times New Roman" w:cs="Arial"/>
          <w:color w:val="000000" w:themeColor="text1"/>
        </w:rPr>
        <w:t xml:space="preserve">any </w:t>
      </w:r>
      <w:r w:rsidRPr="00DC7D80">
        <w:rPr>
          <w:rFonts w:eastAsia="Times New Roman" w:cs="Arial"/>
          <w:color w:val="000000" w:themeColor="text1"/>
        </w:rPr>
        <w:t xml:space="preserve"> child below expectations will have a detailed </w:t>
      </w:r>
      <w:r w:rsidR="000132D4">
        <w:rPr>
          <w:rFonts w:eastAsia="Times New Roman" w:cs="Arial"/>
          <w:color w:val="000000" w:themeColor="text1"/>
        </w:rPr>
        <w:t xml:space="preserve">tracker in place for any intervention. </w:t>
      </w:r>
      <w:r w:rsidRPr="00DC7D80">
        <w:rPr>
          <w:rFonts w:eastAsia="Times New Roman" w:cs="Arial"/>
          <w:color w:val="000000" w:themeColor="text1"/>
        </w:rPr>
        <w:t xml:space="preserve"> These interventions will be monitored half termly by the SLT.</w:t>
      </w:r>
    </w:p>
    <w:p w14:paraId="1D3FAD06" w14:textId="77777777"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b/>
          <w:bCs/>
          <w:color w:val="000000" w:themeColor="text1"/>
        </w:rPr>
        <w:t>Targeted Group Support (tutoring)</w:t>
      </w:r>
    </w:p>
    <w:p w14:paraId="27A8E5E7" w14:textId="36A9EF8A" w:rsidR="003024C2" w:rsidRPr="003024C2"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t xml:space="preserve">This is an area where we are </w:t>
      </w:r>
      <w:r w:rsidR="007F74E4" w:rsidRPr="00DC7D80">
        <w:rPr>
          <w:rFonts w:eastAsia="Times New Roman" w:cs="Arial"/>
          <w:color w:val="000000" w:themeColor="text1"/>
        </w:rPr>
        <w:t>currently investigating</w:t>
      </w:r>
      <w:r w:rsidRPr="00DC7D80">
        <w:rPr>
          <w:rFonts w:eastAsia="Times New Roman" w:cs="Arial"/>
          <w:color w:val="000000" w:themeColor="text1"/>
        </w:rPr>
        <w:t xml:space="preserve"> the school’s catch up grant as we strongly believe it will have the most impact. We will select children at most risk of falling behind to partake in small group targeted intervention which will begin in </w:t>
      </w:r>
      <w:r w:rsidR="000132D4">
        <w:rPr>
          <w:rFonts w:eastAsia="Times New Roman" w:cs="Arial"/>
          <w:color w:val="000000" w:themeColor="text1"/>
        </w:rPr>
        <w:t>November 2020</w:t>
      </w:r>
      <w:r w:rsidRPr="00DC7D80">
        <w:rPr>
          <w:rFonts w:eastAsia="Times New Roman" w:cs="Arial"/>
          <w:color w:val="000000" w:themeColor="text1"/>
        </w:rPr>
        <w:t>. This will follow a period of time which will see specific training for these targeted interventions. These sessions will be run by a qualified teacher</w:t>
      </w:r>
      <w:r w:rsidR="00B9381E" w:rsidRPr="00DC7D80">
        <w:rPr>
          <w:rFonts w:eastAsia="Times New Roman" w:cs="Arial"/>
          <w:color w:val="000000" w:themeColor="text1"/>
        </w:rPr>
        <w:t xml:space="preserve"> and teaching assistants</w:t>
      </w:r>
      <w:r w:rsidRPr="00DC7D80">
        <w:rPr>
          <w:rFonts w:eastAsia="Times New Roman" w:cs="Arial"/>
          <w:color w:val="000000" w:themeColor="text1"/>
        </w:rPr>
        <w:t>. The accountability for the success of these sessions will lie with them and the class teacher in order to have the most impact. The sessions will be fast paced and initially work on lost learning from the prior year group in order to give children the best possible chance of progressing in their current year group. </w:t>
      </w:r>
    </w:p>
    <w:p w14:paraId="3132EC09" w14:textId="77777777" w:rsidR="003024C2" w:rsidRDefault="003024C2" w:rsidP="00B9381E">
      <w:pPr>
        <w:shd w:val="clear" w:color="auto" w:fill="FFFFFF"/>
        <w:spacing w:after="150"/>
        <w:jc w:val="both"/>
        <w:rPr>
          <w:rFonts w:eastAsia="Times New Roman" w:cs="Arial"/>
          <w:b/>
          <w:bCs/>
          <w:color w:val="000000" w:themeColor="text1"/>
        </w:rPr>
      </w:pPr>
    </w:p>
    <w:p w14:paraId="69847EDA" w14:textId="158883BF"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b/>
          <w:bCs/>
          <w:color w:val="000000" w:themeColor="text1"/>
        </w:rPr>
        <w:t>Health, Fitness and Wellbeing</w:t>
      </w:r>
    </w:p>
    <w:p w14:paraId="68DB2482" w14:textId="4AB4D7A9" w:rsidR="00485B14" w:rsidRPr="00DC7D80" w:rsidRDefault="000132D4" w:rsidP="00B9381E">
      <w:pPr>
        <w:shd w:val="clear" w:color="auto" w:fill="FFFFFF"/>
        <w:spacing w:after="150"/>
        <w:jc w:val="both"/>
        <w:rPr>
          <w:rFonts w:eastAsia="Times New Roman" w:cs="Arial"/>
          <w:color w:val="000000" w:themeColor="text1"/>
        </w:rPr>
      </w:pPr>
      <w:r w:rsidRPr="00DC7D80">
        <w:rPr>
          <w:rFonts w:eastAsia="Times New Roman" w:cs="Arial"/>
          <w:color w:val="000000" w:themeColor="text1"/>
        </w:rPr>
        <w:t xml:space="preserve"> </w:t>
      </w:r>
      <w:r w:rsidR="007F74E4" w:rsidRPr="00DC7D80">
        <w:rPr>
          <w:rFonts w:eastAsia="Times New Roman" w:cs="Arial"/>
          <w:color w:val="000000" w:themeColor="text1"/>
        </w:rPr>
        <w:t>Children thrive on PE days</w:t>
      </w:r>
      <w:r w:rsidR="00B9381E" w:rsidRPr="00DC7D80">
        <w:rPr>
          <w:rFonts w:eastAsia="Times New Roman" w:cs="Arial"/>
          <w:color w:val="000000" w:themeColor="text1"/>
        </w:rPr>
        <w:t xml:space="preserve"> at school and we beli</w:t>
      </w:r>
      <w:r>
        <w:rPr>
          <w:rFonts w:eastAsia="Times New Roman" w:cs="Arial"/>
          <w:color w:val="000000" w:themeColor="text1"/>
        </w:rPr>
        <w:t>e</w:t>
      </w:r>
      <w:r w:rsidR="00B9381E" w:rsidRPr="00DC7D80">
        <w:rPr>
          <w:rFonts w:eastAsia="Times New Roman" w:cs="Arial"/>
          <w:color w:val="000000" w:themeColor="text1"/>
        </w:rPr>
        <w:t>ve that high quality PE and Wellbeing provision is essential.  Most Bubbles have at least 2 PE sessions each week which is further supplemented by the daily mile</w:t>
      </w:r>
      <w:r>
        <w:rPr>
          <w:rFonts w:eastAsia="Times New Roman" w:cs="Arial"/>
          <w:color w:val="000000" w:themeColor="text1"/>
        </w:rPr>
        <w:t>.</w:t>
      </w:r>
      <w:r w:rsidR="00B9381E" w:rsidRPr="00DC7D80">
        <w:rPr>
          <w:rFonts w:eastAsia="Times New Roman" w:cs="Arial"/>
          <w:color w:val="000000" w:themeColor="text1"/>
        </w:rPr>
        <w:t xml:space="preserve"> </w:t>
      </w:r>
    </w:p>
    <w:p w14:paraId="4DA02849" w14:textId="0274A500" w:rsidR="00B9381E" w:rsidRPr="00DC7D80" w:rsidRDefault="00B9381E" w:rsidP="00B9381E">
      <w:pPr>
        <w:shd w:val="clear" w:color="auto" w:fill="FFFFFF"/>
        <w:spacing w:after="150"/>
        <w:jc w:val="both"/>
        <w:rPr>
          <w:rFonts w:eastAsia="Times New Roman" w:cs="Times New Roman"/>
          <w:color w:val="000000" w:themeColor="text1"/>
        </w:rPr>
      </w:pPr>
      <w:r w:rsidRPr="00DC7D80">
        <w:rPr>
          <w:rFonts w:eastAsia="Times New Roman" w:cs="Times New Roman"/>
          <w:color w:val="000000" w:themeColor="text1"/>
        </w:rPr>
        <w:t xml:space="preserve">We </w:t>
      </w:r>
      <w:r w:rsidR="000132D4">
        <w:rPr>
          <w:rFonts w:eastAsia="Times New Roman" w:cs="Times New Roman"/>
          <w:color w:val="000000" w:themeColor="text1"/>
        </w:rPr>
        <w:t>have recently become</w:t>
      </w:r>
      <w:r w:rsidRPr="00DC7D80">
        <w:rPr>
          <w:rFonts w:eastAsia="Times New Roman" w:cs="Times New Roman"/>
          <w:color w:val="000000" w:themeColor="text1"/>
        </w:rPr>
        <w:t xml:space="preserve"> a PATHs  school and continue to use this scheme to support our children with their mental well-being.</w:t>
      </w:r>
    </w:p>
    <w:p w14:paraId="3A147B59" w14:textId="77777777" w:rsidR="00485B14"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u w:val="single"/>
        </w:rPr>
        <w:t>Who will benefit from the funding?</w:t>
      </w:r>
    </w:p>
    <w:p w14:paraId="3ECCE34B" w14:textId="5A66184D" w:rsidR="00485B14" w:rsidRPr="00DC7D80" w:rsidRDefault="000132D4" w:rsidP="00B9381E">
      <w:pPr>
        <w:shd w:val="clear" w:color="auto" w:fill="FFFFFF"/>
        <w:spacing w:after="150"/>
        <w:jc w:val="both"/>
        <w:rPr>
          <w:rFonts w:eastAsia="Times New Roman" w:cs="Times New Roman"/>
          <w:color w:val="000000" w:themeColor="text1"/>
        </w:rPr>
      </w:pPr>
      <w:r w:rsidRPr="00DC7D80">
        <w:rPr>
          <w:rFonts w:eastAsia="Times New Roman" w:cs="Arial"/>
          <w:color w:val="000000" w:themeColor="text1"/>
        </w:rPr>
        <w:lastRenderedPageBreak/>
        <w:t xml:space="preserve"> </w:t>
      </w:r>
      <w:r w:rsidR="00485B14" w:rsidRPr="00DC7D80">
        <w:rPr>
          <w:rFonts w:eastAsia="Times New Roman" w:cs="Arial"/>
          <w:color w:val="000000" w:themeColor="text1"/>
        </w:rPr>
        <w:t xml:space="preserve">During September 2020, all children across the school have undertaken high-quality assessments in reading, writing, phonics / spelling and maths. Through careful analysis of this assessment data, teachers have identified groups of children that will benefit from ‘catch-up’ support or other interventions to enable them to close gaps in understanding and attainment. </w:t>
      </w:r>
    </w:p>
    <w:p w14:paraId="15D21C5C" w14:textId="30575534" w:rsidR="00DC7D80" w:rsidRPr="00DC7D80" w:rsidRDefault="00485B14" w:rsidP="00B9381E">
      <w:pPr>
        <w:shd w:val="clear" w:color="auto" w:fill="FFFFFF"/>
        <w:spacing w:after="150"/>
        <w:jc w:val="both"/>
        <w:rPr>
          <w:rFonts w:eastAsia="Times New Roman" w:cs="Times New Roman"/>
          <w:color w:val="000000" w:themeColor="text1"/>
        </w:rPr>
      </w:pPr>
      <w:r w:rsidRPr="00DC7D80">
        <w:rPr>
          <w:rFonts w:eastAsia="Times New Roman" w:cs="Times New Roman"/>
          <w:color w:val="000000" w:themeColor="text1"/>
        </w:rPr>
        <w:t> </w:t>
      </w:r>
    </w:p>
    <w:p w14:paraId="3DFD6B67" w14:textId="77777777" w:rsidR="003024C2" w:rsidRDefault="003024C2" w:rsidP="00B9381E">
      <w:pPr>
        <w:shd w:val="clear" w:color="auto" w:fill="FFFFFF"/>
        <w:spacing w:after="150"/>
        <w:jc w:val="both"/>
        <w:rPr>
          <w:rFonts w:eastAsia="Times New Roman" w:cs="Arial"/>
          <w:b/>
          <w:color w:val="000000" w:themeColor="text1"/>
        </w:rPr>
      </w:pPr>
    </w:p>
    <w:p w14:paraId="58714796" w14:textId="69069E8D" w:rsidR="00485B14" w:rsidRDefault="00485B14" w:rsidP="00B9381E">
      <w:pPr>
        <w:shd w:val="clear" w:color="auto" w:fill="FFFFFF"/>
        <w:spacing w:after="150"/>
        <w:jc w:val="both"/>
        <w:rPr>
          <w:rFonts w:eastAsia="Times New Roman" w:cs="Arial"/>
          <w:b/>
          <w:color w:val="000000" w:themeColor="text1"/>
        </w:rPr>
      </w:pPr>
      <w:r w:rsidRPr="00DC7D80">
        <w:rPr>
          <w:rFonts w:eastAsia="Times New Roman" w:cs="Arial"/>
          <w:b/>
          <w:color w:val="000000" w:themeColor="text1"/>
        </w:rPr>
        <w:t xml:space="preserve">Strategy aims for </w:t>
      </w:r>
      <w:r w:rsidR="004F191F" w:rsidRPr="00DC7D80">
        <w:rPr>
          <w:rFonts w:eastAsia="Times New Roman" w:cs="Arial"/>
          <w:b/>
          <w:color w:val="000000" w:themeColor="text1"/>
        </w:rPr>
        <w:t xml:space="preserve">Catch Up Funding </w:t>
      </w:r>
      <w:r w:rsidR="00DC7D80">
        <w:rPr>
          <w:rFonts w:eastAsia="Times New Roman" w:cs="Arial"/>
          <w:b/>
          <w:color w:val="000000" w:themeColor="text1"/>
        </w:rPr>
        <w:t>–</w:t>
      </w:r>
      <w:r w:rsidR="004F191F" w:rsidRPr="00DC7D80">
        <w:rPr>
          <w:rFonts w:eastAsia="Times New Roman" w:cs="Arial"/>
          <w:b/>
          <w:color w:val="000000" w:themeColor="text1"/>
        </w:rPr>
        <w:t xml:space="preserve"> </w:t>
      </w:r>
    </w:p>
    <w:p w14:paraId="076FCA81" w14:textId="77777777" w:rsidR="00DC7D80" w:rsidRPr="00DC7D80" w:rsidRDefault="00DC7D80" w:rsidP="00B9381E">
      <w:pPr>
        <w:shd w:val="clear" w:color="auto" w:fill="FFFFFF"/>
        <w:spacing w:after="150"/>
        <w:jc w:val="both"/>
        <w:rPr>
          <w:rFonts w:eastAsia="Times New Roman" w:cs="Times New Roman"/>
          <w:b/>
          <w:color w:val="000000" w:themeColor="text1"/>
        </w:rPr>
      </w:pPr>
    </w:p>
    <w:tbl>
      <w:tblPr>
        <w:tblStyle w:val="GridTable4-Accent1"/>
        <w:tblW w:w="14454" w:type="dxa"/>
        <w:tblLayout w:type="fixed"/>
        <w:tblLook w:val="04A0" w:firstRow="1" w:lastRow="0" w:firstColumn="1" w:lastColumn="0" w:noHBand="0" w:noVBand="1"/>
      </w:tblPr>
      <w:tblGrid>
        <w:gridCol w:w="2830"/>
        <w:gridCol w:w="2977"/>
        <w:gridCol w:w="8647"/>
      </w:tblGrid>
      <w:tr w:rsidR="008F1C36" w:rsidRPr="00DC7D80" w14:paraId="05F99E46" w14:textId="77777777" w:rsidTr="00DD012E">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830" w:type="dxa"/>
            <w:hideMark/>
          </w:tcPr>
          <w:p w14:paraId="0CD42A6D" w14:textId="77777777" w:rsidR="00485B14" w:rsidRPr="00DC7D80" w:rsidRDefault="00485B14" w:rsidP="00B9381E">
            <w:pPr>
              <w:spacing w:after="150"/>
              <w:jc w:val="both"/>
              <w:rPr>
                <w:rFonts w:eastAsia="Times New Roman" w:cs="Times New Roman"/>
                <w:color w:val="000000" w:themeColor="text1"/>
              </w:rPr>
            </w:pPr>
            <w:r w:rsidRPr="00DC7D80">
              <w:rPr>
                <w:rFonts w:eastAsia="Times New Roman" w:cs="Arial"/>
                <w:color w:val="000000" w:themeColor="text1"/>
              </w:rPr>
              <w:t>Intervention / Approach</w:t>
            </w:r>
          </w:p>
        </w:tc>
        <w:tc>
          <w:tcPr>
            <w:tcW w:w="2977" w:type="dxa"/>
            <w:hideMark/>
          </w:tcPr>
          <w:p w14:paraId="426C3E69" w14:textId="77777777" w:rsidR="00485B14" w:rsidRPr="00DC7D80" w:rsidRDefault="00485B14" w:rsidP="003024C2">
            <w:pPr>
              <w:spacing w:after="15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Cost of intervention / Approach</w:t>
            </w:r>
          </w:p>
        </w:tc>
        <w:tc>
          <w:tcPr>
            <w:tcW w:w="8647" w:type="dxa"/>
            <w:hideMark/>
          </w:tcPr>
          <w:p w14:paraId="4DA31F6E" w14:textId="77777777" w:rsidR="00485B14" w:rsidRPr="00DC7D80" w:rsidRDefault="00485B14" w:rsidP="00B9381E">
            <w:pPr>
              <w:spacing w:after="15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Rationale</w:t>
            </w:r>
          </w:p>
        </w:tc>
      </w:tr>
      <w:tr w:rsidR="008F1C36" w:rsidRPr="00DC7D80" w14:paraId="54F3F77B" w14:textId="77777777" w:rsidTr="00DD012E">
        <w:trPr>
          <w:cnfStyle w:val="000000100000" w:firstRow="0" w:lastRow="0" w:firstColumn="0" w:lastColumn="0" w:oddVBand="0" w:evenVBand="0" w:oddHBand="1" w:evenHBand="0" w:firstRowFirstColumn="0" w:firstRowLastColumn="0" w:lastRowFirstColumn="0" w:lastRowLastColumn="0"/>
          <w:trHeight w:val="3357"/>
        </w:trPr>
        <w:tc>
          <w:tcPr>
            <w:cnfStyle w:val="001000000000" w:firstRow="0" w:lastRow="0" w:firstColumn="1" w:lastColumn="0" w:oddVBand="0" w:evenVBand="0" w:oddHBand="0" w:evenHBand="0" w:firstRowFirstColumn="0" w:firstRowLastColumn="0" w:lastRowFirstColumn="0" w:lastRowLastColumn="0"/>
            <w:tcW w:w="2830" w:type="dxa"/>
            <w:hideMark/>
          </w:tcPr>
          <w:p w14:paraId="543998B4" w14:textId="77777777" w:rsidR="00485B14" w:rsidRPr="00DC7D80" w:rsidRDefault="00485B14" w:rsidP="00DD012E">
            <w:pPr>
              <w:spacing w:after="150"/>
              <w:rPr>
                <w:rFonts w:eastAsia="Times New Roman" w:cs="Times New Roman"/>
                <w:color w:val="000000" w:themeColor="text1"/>
              </w:rPr>
            </w:pPr>
            <w:r w:rsidRPr="00DC7D80">
              <w:rPr>
                <w:rFonts w:eastAsia="Times New Roman" w:cs="Arial"/>
                <w:color w:val="000000" w:themeColor="text1"/>
              </w:rPr>
              <w:t>Ensure Home Learning is immediately accessible  for those isolating following positive case in bubble.</w:t>
            </w:r>
          </w:p>
        </w:tc>
        <w:tc>
          <w:tcPr>
            <w:tcW w:w="2977" w:type="dxa"/>
            <w:hideMark/>
          </w:tcPr>
          <w:p w14:paraId="71273E67" w14:textId="335D6427" w:rsidR="003024C2" w:rsidRPr="00DC7D80" w:rsidRDefault="00485B14" w:rsidP="00DD012E">
            <w:pPr>
              <w:spacing w:after="15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 </w:t>
            </w:r>
            <w:r w:rsidR="005E2149" w:rsidRPr="00DC7D80">
              <w:rPr>
                <w:rFonts w:eastAsia="Times New Roman" w:cs="Arial"/>
                <w:color w:val="000000" w:themeColor="text1"/>
              </w:rPr>
              <w:t xml:space="preserve"> </w:t>
            </w:r>
            <w:r w:rsidR="003024C2">
              <w:rPr>
                <w:rFonts w:eastAsia="Times New Roman" w:cs="Times New Roman"/>
                <w:color w:val="000000" w:themeColor="text1"/>
              </w:rPr>
              <w:t>Allocate equipment and loan out school equipment as needed, especially in period of lockdown or closed bubbles.</w:t>
            </w:r>
          </w:p>
          <w:p w14:paraId="3F240AF6" w14:textId="3F53A759" w:rsidR="00485B14" w:rsidRPr="00DC7D80" w:rsidRDefault="00485B14" w:rsidP="00DD012E">
            <w:pPr>
              <w:spacing w:after="15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8647" w:type="dxa"/>
            <w:hideMark/>
          </w:tcPr>
          <w:p w14:paraId="64C54F8A" w14:textId="606B1EC2" w:rsidR="00485B14" w:rsidRPr="00DC7D80" w:rsidRDefault="005E2149"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Given to</w:t>
            </w:r>
            <w:r w:rsidR="00485B14" w:rsidRPr="00DC7D80">
              <w:rPr>
                <w:rFonts w:eastAsia="Times New Roman" w:cs="Arial"/>
                <w:color w:val="000000" w:themeColor="text1"/>
              </w:rPr>
              <w:t xml:space="preserve"> children who have no access / shared access with siblings to a device at home to ensure remote learning is accessible for all. This will supplement additional devices obtained through DfE ‘Wave 2’ scheme through local authority.</w:t>
            </w:r>
            <w:r w:rsidRPr="00DC7D80">
              <w:rPr>
                <w:rFonts w:eastAsia="Times New Roman" w:cs="Arial"/>
                <w:color w:val="000000" w:themeColor="text1"/>
              </w:rPr>
              <w:t>(only 1 device allocated)</w:t>
            </w:r>
          </w:p>
          <w:p w14:paraId="0089489D" w14:textId="77777777" w:rsidR="00485B14" w:rsidRPr="00DC7D80" w:rsidRDefault="00485B14"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The school has undertaken research and worked closely with all families to determine those children most in need.</w:t>
            </w:r>
          </w:p>
          <w:p w14:paraId="2DB35C98" w14:textId="5236B675" w:rsidR="00485B14" w:rsidRPr="00DC7D80" w:rsidRDefault="00485B14"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 xml:space="preserve">Will allow </w:t>
            </w:r>
            <w:r w:rsidR="005E2149" w:rsidRPr="00DC7D80">
              <w:rPr>
                <w:rFonts w:eastAsia="Times New Roman" w:cs="Arial"/>
                <w:color w:val="000000" w:themeColor="text1"/>
              </w:rPr>
              <w:t>home learning or tutoring if applicable</w:t>
            </w:r>
            <w:r w:rsidRPr="00DC7D80">
              <w:rPr>
                <w:rFonts w:eastAsia="Times New Roman" w:cs="Arial"/>
                <w:color w:val="000000" w:themeColor="text1"/>
              </w:rPr>
              <w:t xml:space="preserve"> to continue in the event of children isolating in bubbles / individuals.</w:t>
            </w:r>
          </w:p>
        </w:tc>
      </w:tr>
      <w:tr w:rsidR="008F1C36" w:rsidRPr="00DC7D80" w14:paraId="6DB804AE" w14:textId="77777777" w:rsidTr="00DD012E">
        <w:trPr>
          <w:trHeight w:val="274"/>
        </w:trPr>
        <w:tc>
          <w:tcPr>
            <w:cnfStyle w:val="001000000000" w:firstRow="0" w:lastRow="0" w:firstColumn="1" w:lastColumn="0" w:oddVBand="0" w:evenVBand="0" w:oddHBand="0" w:evenHBand="0" w:firstRowFirstColumn="0" w:firstRowLastColumn="0" w:lastRowFirstColumn="0" w:lastRowLastColumn="0"/>
            <w:tcW w:w="2830" w:type="dxa"/>
            <w:hideMark/>
          </w:tcPr>
          <w:p w14:paraId="2E69FADF" w14:textId="77777777" w:rsidR="00485B14" w:rsidRPr="00DC7D80" w:rsidRDefault="00485B14" w:rsidP="00DD012E">
            <w:pPr>
              <w:spacing w:after="150"/>
              <w:rPr>
                <w:rFonts w:eastAsia="Times New Roman" w:cs="Times New Roman"/>
                <w:color w:val="000000" w:themeColor="text1"/>
              </w:rPr>
            </w:pPr>
            <w:r w:rsidRPr="00DC7D80">
              <w:rPr>
                <w:rFonts w:eastAsia="Times New Roman" w:cs="Arial"/>
                <w:color w:val="000000" w:themeColor="text1"/>
              </w:rPr>
              <w:t>Ensure Home Learning is immediately accessible  for those isolating following positive case in bubble.</w:t>
            </w:r>
          </w:p>
        </w:tc>
        <w:tc>
          <w:tcPr>
            <w:tcW w:w="2977" w:type="dxa"/>
            <w:hideMark/>
          </w:tcPr>
          <w:p w14:paraId="32C9FC41" w14:textId="77777777" w:rsidR="00485B14" w:rsidRPr="00DC7D80" w:rsidRDefault="00485B14" w:rsidP="00DD012E">
            <w:pPr>
              <w:spacing w:after="15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Purchase booklets for home learning Y1 – 6</w:t>
            </w:r>
          </w:p>
          <w:p w14:paraId="09DF08C8" w14:textId="2239D62C" w:rsidR="00485B14" w:rsidRPr="00DC7D80" w:rsidRDefault="00485B14" w:rsidP="00DD012E">
            <w:pPr>
              <w:spacing w:after="15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rPr>
            </w:pPr>
            <w:r w:rsidRPr="00DC7D80">
              <w:rPr>
                <w:rFonts w:eastAsia="Times New Roman" w:cs="Arial"/>
                <w:color w:val="000000" w:themeColor="text1"/>
              </w:rPr>
              <w:t>1 x reading + 1 x Maths + 1 x phonics / grammar per child</w:t>
            </w:r>
          </w:p>
          <w:p w14:paraId="4C6098DA" w14:textId="17D63A53" w:rsidR="00485B14" w:rsidRPr="00DC7D80" w:rsidRDefault="005E2149" w:rsidP="00DD012E">
            <w:pPr>
              <w:spacing w:after="15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lastRenderedPageBreak/>
              <w:t>£</w:t>
            </w:r>
            <w:r w:rsidR="003024C2">
              <w:rPr>
                <w:rFonts w:eastAsia="Times New Roman" w:cs="Arial"/>
                <w:color w:val="000000" w:themeColor="text1"/>
              </w:rPr>
              <w:t>800</w:t>
            </w:r>
          </w:p>
        </w:tc>
        <w:tc>
          <w:tcPr>
            <w:tcW w:w="8647" w:type="dxa"/>
            <w:hideMark/>
          </w:tcPr>
          <w:p w14:paraId="1A17FE4A" w14:textId="77777777" w:rsidR="00485B14" w:rsidRDefault="00485B14"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rPr>
            </w:pPr>
            <w:r w:rsidRPr="00DC7D80">
              <w:rPr>
                <w:rFonts w:eastAsia="Times New Roman" w:cs="Arial"/>
                <w:color w:val="000000" w:themeColor="text1"/>
              </w:rPr>
              <w:lastRenderedPageBreak/>
              <w:t>To be sent home as part of a blended home-learning package. Physical workbooks will enable parent managing remote learning to alternate the use of devices between children, whilst keeping others engaged in online learning</w:t>
            </w:r>
            <w:r w:rsidR="003024C2">
              <w:rPr>
                <w:rFonts w:eastAsia="Times New Roman" w:cs="Arial"/>
                <w:color w:val="000000" w:themeColor="text1"/>
              </w:rPr>
              <w:t>.</w:t>
            </w:r>
          </w:p>
          <w:p w14:paraId="3C0E01C2" w14:textId="77777777" w:rsidR="003024C2" w:rsidRDefault="003024C2"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Pr>
                <w:rFonts w:eastAsia="Times New Roman" w:cs="Times New Roman"/>
                <w:color w:val="000000" w:themeColor="text1"/>
              </w:rPr>
              <w:t xml:space="preserve">On line learning resources readily available through google classroom for any closed bubble or individual pupil needing to </w:t>
            </w:r>
            <w:proofErr w:type="spellStart"/>
            <w:r>
              <w:rPr>
                <w:rFonts w:eastAsia="Times New Roman" w:cs="Times New Roman"/>
                <w:color w:val="000000" w:themeColor="text1"/>
              </w:rPr>
              <w:t>self isolate</w:t>
            </w:r>
            <w:proofErr w:type="spellEnd"/>
            <w:r>
              <w:rPr>
                <w:rFonts w:eastAsia="Times New Roman" w:cs="Times New Roman"/>
                <w:color w:val="000000" w:themeColor="text1"/>
              </w:rPr>
              <w:t>.</w:t>
            </w:r>
          </w:p>
          <w:p w14:paraId="30D4C5E1" w14:textId="599B64A2" w:rsidR="003024C2" w:rsidRPr="00DC7D80" w:rsidRDefault="003024C2"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Pr>
                <w:rFonts w:eastAsia="Times New Roman" w:cs="Times New Roman"/>
                <w:color w:val="000000" w:themeColor="text1"/>
              </w:rPr>
              <w:lastRenderedPageBreak/>
              <w:t>Immediate 24 hours package sent, followed up by material tailored to classwork.</w:t>
            </w:r>
          </w:p>
        </w:tc>
      </w:tr>
      <w:tr w:rsidR="008F1C36" w:rsidRPr="00DC7D80" w14:paraId="6999BF13" w14:textId="77777777" w:rsidTr="00DD012E">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2830" w:type="dxa"/>
          </w:tcPr>
          <w:p w14:paraId="62BE4E0A" w14:textId="1E63ABF5" w:rsidR="005E2149" w:rsidRPr="00DC7D80" w:rsidRDefault="005E2149" w:rsidP="00DD012E">
            <w:pPr>
              <w:spacing w:after="150"/>
              <w:rPr>
                <w:rFonts w:eastAsia="Times New Roman" w:cs="Arial"/>
                <w:color w:val="000000" w:themeColor="text1"/>
              </w:rPr>
            </w:pPr>
            <w:r w:rsidRPr="00DC7D80">
              <w:rPr>
                <w:rFonts w:eastAsia="Times New Roman" w:cs="Arial"/>
                <w:color w:val="000000" w:themeColor="text1"/>
              </w:rPr>
              <w:lastRenderedPageBreak/>
              <w:t>Ensure Home Learning is immediately accessible  for those isolating following positive case in bubble</w:t>
            </w:r>
          </w:p>
        </w:tc>
        <w:tc>
          <w:tcPr>
            <w:tcW w:w="2977" w:type="dxa"/>
          </w:tcPr>
          <w:p w14:paraId="39C4C5F3" w14:textId="082583B1" w:rsidR="005E2149" w:rsidRPr="00DC7D80" w:rsidRDefault="00F555CA"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rPr>
            </w:pPr>
            <w:r w:rsidRPr="00DC7D80">
              <w:rPr>
                <w:rFonts w:eastAsia="Times New Roman" w:cs="Arial"/>
                <w:color w:val="000000" w:themeColor="text1"/>
              </w:rPr>
              <w:t>Teacher time each week</w:t>
            </w:r>
          </w:p>
        </w:tc>
        <w:tc>
          <w:tcPr>
            <w:tcW w:w="8647" w:type="dxa"/>
          </w:tcPr>
          <w:p w14:paraId="4950BF4E" w14:textId="77777777" w:rsidR="003024C2" w:rsidRDefault="00F555CA"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rPr>
            </w:pPr>
            <w:r w:rsidRPr="00DC7D80">
              <w:rPr>
                <w:rFonts w:eastAsia="Times New Roman" w:cs="Arial"/>
                <w:color w:val="000000" w:themeColor="text1"/>
              </w:rPr>
              <w:t xml:space="preserve">Home learning and links to resources uploaded onto </w:t>
            </w:r>
            <w:r w:rsidR="003024C2">
              <w:rPr>
                <w:rFonts w:eastAsia="Times New Roman" w:cs="Arial"/>
                <w:color w:val="000000" w:themeColor="text1"/>
              </w:rPr>
              <w:t xml:space="preserve">google platform whenever a bubble is closed or directly to individual pupils </w:t>
            </w:r>
            <w:proofErr w:type="spellStart"/>
            <w:r w:rsidR="003024C2">
              <w:rPr>
                <w:rFonts w:eastAsia="Times New Roman" w:cs="Arial"/>
                <w:color w:val="000000" w:themeColor="text1"/>
              </w:rPr>
              <w:t>self isolating</w:t>
            </w:r>
            <w:proofErr w:type="spellEnd"/>
            <w:r w:rsidR="003024C2">
              <w:rPr>
                <w:rFonts w:eastAsia="Times New Roman" w:cs="Arial"/>
                <w:color w:val="000000" w:themeColor="text1"/>
              </w:rPr>
              <w:t>.</w:t>
            </w:r>
          </w:p>
          <w:p w14:paraId="4CEADFD5" w14:textId="39C7E05D" w:rsidR="005E2149" w:rsidRPr="00DC7D80" w:rsidRDefault="005E2149"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rPr>
            </w:pPr>
          </w:p>
        </w:tc>
      </w:tr>
      <w:tr w:rsidR="008F1C36" w:rsidRPr="00DC7D80" w14:paraId="75AE6E22" w14:textId="77777777" w:rsidTr="00DD012E">
        <w:trPr>
          <w:trHeight w:val="561"/>
        </w:trPr>
        <w:tc>
          <w:tcPr>
            <w:cnfStyle w:val="001000000000" w:firstRow="0" w:lastRow="0" w:firstColumn="1" w:lastColumn="0" w:oddVBand="0" w:evenVBand="0" w:oddHBand="0" w:evenHBand="0" w:firstRowFirstColumn="0" w:firstRowLastColumn="0" w:lastRowFirstColumn="0" w:lastRowLastColumn="0"/>
            <w:tcW w:w="2830" w:type="dxa"/>
            <w:hideMark/>
          </w:tcPr>
          <w:p w14:paraId="47986D0A" w14:textId="77777777" w:rsidR="00485B14" w:rsidRPr="00DC7D80" w:rsidRDefault="00485B14" w:rsidP="00DD012E">
            <w:pPr>
              <w:spacing w:after="150"/>
              <w:rPr>
                <w:rFonts w:eastAsia="Times New Roman" w:cs="Times New Roman"/>
                <w:color w:val="000000" w:themeColor="text1"/>
              </w:rPr>
            </w:pPr>
            <w:r w:rsidRPr="00DC7D80">
              <w:rPr>
                <w:rFonts w:eastAsia="Times New Roman" w:cs="Arial"/>
                <w:color w:val="000000" w:themeColor="text1"/>
              </w:rPr>
              <w:t>Early years Foundation Stage.</w:t>
            </w:r>
          </w:p>
        </w:tc>
        <w:tc>
          <w:tcPr>
            <w:tcW w:w="2977" w:type="dxa"/>
            <w:hideMark/>
          </w:tcPr>
          <w:p w14:paraId="3D9BECC7" w14:textId="77777777" w:rsidR="00485B14" w:rsidRPr="00DC7D80" w:rsidRDefault="00485B14" w:rsidP="00DD012E">
            <w:pPr>
              <w:spacing w:after="15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Nuffield Early Language Intervention January 2021</w:t>
            </w:r>
          </w:p>
          <w:p w14:paraId="21D76776" w14:textId="77777777" w:rsidR="00485B14" w:rsidRPr="00DC7D80" w:rsidRDefault="00485B14" w:rsidP="00DD012E">
            <w:pPr>
              <w:spacing w:after="15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 Free + CPD training costs</w:t>
            </w:r>
          </w:p>
          <w:p w14:paraId="5FA8D330" w14:textId="77777777" w:rsidR="00485B14" w:rsidRPr="00DC7D80" w:rsidRDefault="00485B14" w:rsidP="00DD012E">
            <w:pPr>
              <w:spacing w:after="15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£600 (estimate)</w:t>
            </w:r>
          </w:p>
        </w:tc>
        <w:tc>
          <w:tcPr>
            <w:tcW w:w="8647" w:type="dxa"/>
            <w:hideMark/>
          </w:tcPr>
          <w:p w14:paraId="6ABAB08D" w14:textId="77777777" w:rsidR="00485B14" w:rsidRPr="00DC7D80" w:rsidRDefault="00485B14"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Government recommendation.</w:t>
            </w:r>
            <w:hyperlink r:id="rId4" w:history="1">
              <w:r w:rsidRPr="00DC7D80">
                <w:rPr>
                  <w:rFonts w:eastAsia="Times New Roman" w:cs="Arial"/>
                  <w:color w:val="000000" w:themeColor="text1"/>
                  <w:u w:val="single"/>
                </w:rPr>
                <w:t> </w:t>
              </w:r>
            </w:hyperlink>
            <w:hyperlink r:id="rId5" w:history="1">
              <w:r w:rsidRPr="00DC7D80">
                <w:rPr>
                  <w:rFonts w:eastAsia="Times New Roman" w:cs="Arial"/>
                  <w:color w:val="000000" w:themeColor="text1"/>
                  <w:u w:val="single"/>
                </w:rPr>
                <w:t>https://www.gov.uk/government/news/early-years-support-package-to-help-close-covid-language-gap</w:t>
              </w:r>
            </w:hyperlink>
          </w:p>
          <w:p w14:paraId="17140271" w14:textId="77777777" w:rsidR="00485B14" w:rsidRPr="00DC7D80" w:rsidRDefault="00485B14"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 </w:t>
            </w:r>
          </w:p>
        </w:tc>
      </w:tr>
      <w:tr w:rsidR="008F1C36" w:rsidRPr="00DC7D80" w14:paraId="6F53573C" w14:textId="77777777" w:rsidTr="00DD012E">
        <w:trPr>
          <w:cnfStyle w:val="000000100000" w:firstRow="0" w:lastRow="0" w:firstColumn="0" w:lastColumn="0" w:oddVBand="0" w:evenVBand="0" w:oddHBand="1" w:evenHBand="0" w:firstRowFirstColumn="0" w:firstRowLastColumn="0" w:lastRowFirstColumn="0" w:lastRowLastColumn="0"/>
          <w:trHeight w:val="3102"/>
        </w:trPr>
        <w:tc>
          <w:tcPr>
            <w:cnfStyle w:val="001000000000" w:firstRow="0" w:lastRow="0" w:firstColumn="1" w:lastColumn="0" w:oddVBand="0" w:evenVBand="0" w:oddHBand="0" w:evenHBand="0" w:firstRowFirstColumn="0" w:firstRowLastColumn="0" w:lastRowFirstColumn="0" w:lastRowLastColumn="0"/>
            <w:tcW w:w="2830" w:type="dxa"/>
            <w:hideMark/>
          </w:tcPr>
          <w:p w14:paraId="3FC3FA53" w14:textId="1545E28F" w:rsidR="00485B14" w:rsidRPr="00DC7D80" w:rsidRDefault="00485B14" w:rsidP="00B9381E">
            <w:pPr>
              <w:spacing w:after="150"/>
              <w:jc w:val="both"/>
              <w:rPr>
                <w:rFonts w:eastAsia="Times New Roman" w:cs="Times New Roman"/>
                <w:color w:val="000000" w:themeColor="text1"/>
              </w:rPr>
            </w:pPr>
            <w:r w:rsidRPr="00DC7D80">
              <w:rPr>
                <w:rFonts w:eastAsia="Times New Roman" w:cs="Arial"/>
                <w:color w:val="000000" w:themeColor="text1"/>
              </w:rPr>
              <w:t xml:space="preserve">National </w:t>
            </w:r>
            <w:r w:rsidR="00F555CA" w:rsidRPr="00DC7D80">
              <w:rPr>
                <w:rFonts w:eastAsia="Times New Roman" w:cs="Arial"/>
                <w:color w:val="000000" w:themeColor="text1"/>
              </w:rPr>
              <w:t xml:space="preserve">Tutor </w:t>
            </w:r>
            <w:r w:rsidRPr="00DC7D80">
              <w:rPr>
                <w:rFonts w:eastAsia="Times New Roman" w:cs="Arial"/>
                <w:color w:val="000000" w:themeColor="text1"/>
              </w:rPr>
              <w:t>Scheme</w:t>
            </w:r>
            <w:r w:rsidR="00F555CA" w:rsidRPr="00DC7D80">
              <w:rPr>
                <w:rFonts w:eastAsia="Times New Roman" w:cs="Arial"/>
                <w:color w:val="000000" w:themeColor="text1"/>
              </w:rPr>
              <w:t>/ Use of own teaching staff as tutors</w:t>
            </w:r>
          </w:p>
          <w:p w14:paraId="793401C1" w14:textId="35114FE2" w:rsidR="00485B14" w:rsidRPr="00DC7D80" w:rsidRDefault="00485B14" w:rsidP="00B9381E">
            <w:pPr>
              <w:spacing w:after="150"/>
              <w:jc w:val="both"/>
              <w:rPr>
                <w:rFonts w:eastAsia="Times New Roman" w:cs="Times New Roman"/>
                <w:color w:val="000000" w:themeColor="text1"/>
              </w:rPr>
            </w:pPr>
          </w:p>
        </w:tc>
        <w:tc>
          <w:tcPr>
            <w:tcW w:w="2977" w:type="dxa"/>
            <w:hideMark/>
          </w:tcPr>
          <w:p w14:paraId="1664362F" w14:textId="77777777" w:rsidR="00485B14" w:rsidRPr="00DC7D80" w:rsidRDefault="00F555CA" w:rsidP="00DD012E">
            <w:pPr>
              <w:spacing w:after="15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rPr>
            </w:pPr>
            <w:r w:rsidRPr="00DC7D80">
              <w:rPr>
                <w:rFonts w:eastAsia="Times New Roman" w:cs="Arial"/>
                <w:color w:val="000000" w:themeColor="text1"/>
              </w:rPr>
              <w:t>DFE 75% subsidy?</w:t>
            </w:r>
          </w:p>
          <w:p w14:paraId="23691919" w14:textId="77777777" w:rsidR="00F555CA" w:rsidRPr="00DC7D80" w:rsidRDefault="00F555CA" w:rsidP="00DD012E">
            <w:pPr>
              <w:spacing w:after="15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Times New Roman"/>
                <w:color w:val="000000" w:themeColor="text1"/>
              </w:rPr>
              <w:t>Cost to be finalised following assessments</w:t>
            </w:r>
          </w:p>
          <w:p w14:paraId="70EC7D7C" w14:textId="77777777" w:rsidR="00F555CA" w:rsidRPr="00DC7D80" w:rsidRDefault="00F555CA"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p w14:paraId="7FA87D46" w14:textId="42508E73" w:rsidR="00F555CA" w:rsidRPr="00DC7D80" w:rsidRDefault="00F555CA"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8647" w:type="dxa"/>
            <w:hideMark/>
          </w:tcPr>
          <w:p w14:paraId="1B8A78BC" w14:textId="77777777" w:rsidR="00485B14" w:rsidRPr="00DC7D80" w:rsidRDefault="00485B14"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KS1 – focus on phonics / language and communication (closely aligned with school priorities and closing identified gaps)</w:t>
            </w:r>
          </w:p>
          <w:p w14:paraId="2A468B1B" w14:textId="452608BF" w:rsidR="00485B14" w:rsidRPr="00DC7D80" w:rsidRDefault="00485B14"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KS1 – focus on maths</w:t>
            </w:r>
            <w:r w:rsidR="00F555CA" w:rsidRPr="00DC7D80">
              <w:rPr>
                <w:rFonts w:eastAsia="Times New Roman" w:cs="Arial"/>
                <w:color w:val="000000" w:themeColor="text1"/>
              </w:rPr>
              <w:t>, writing and reading</w:t>
            </w:r>
            <w:r w:rsidRPr="00DC7D80">
              <w:rPr>
                <w:rFonts w:eastAsia="Times New Roman" w:cs="Arial"/>
                <w:color w:val="000000" w:themeColor="text1"/>
              </w:rPr>
              <w:t xml:space="preserve"> (closely aligned with school priorities and closing identified gaps)</w:t>
            </w:r>
          </w:p>
        </w:tc>
      </w:tr>
      <w:tr w:rsidR="008F1C36" w:rsidRPr="00DC7D80" w14:paraId="571FC7AF" w14:textId="77777777" w:rsidTr="00DD012E">
        <w:trPr>
          <w:trHeight w:val="111"/>
        </w:trPr>
        <w:tc>
          <w:tcPr>
            <w:cnfStyle w:val="001000000000" w:firstRow="0" w:lastRow="0" w:firstColumn="1" w:lastColumn="0" w:oddVBand="0" w:evenVBand="0" w:oddHBand="0" w:evenHBand="0" w:firstRowFirstColumn="0" w:firstRowLastColumn="0" w:lastRowFirstColumn="0" w:lastRowLastColumn="0"/>
            <w:tcW w:w="2830" w:type="dxa"/>
            <w:hideMark/>
          </w:tcPr>
          <w:p w14:paraId="6B467D20" w14:textId="2D9B09EC" w:rsidR="00485B14" w:rsidRPr="00DC7D80" w:rsidRDefault="00F555CA" w:rsidP="00DD012E">
            <w:pPr>
              <w:spacing w:after="150"/>
              <w:rPr>
                <w:rFonts w:eastAsia="Times New Roman" w:cs="Times New Roman"/>
                <w:color w:val="000000" w:themeColor="text1"/>
              </w:rPr>
            </w:pPr>
            <w:r w:rsidRPr="00DC7D80">
              <w:rPr>
                <w:rFonts w:eastAsia="Times New Roman" w:cs="Arial"/>
                <w:color w:val="000000" w:themeColor="text1"/>
              </w:rPr>
              <w:t>Train  and employ TAs to carry out precision teaching and catch up interventions using PIXL re</w:t>
            </w:r>
            <w:r w:rsidR="004F191F" w:rsidRPr="00DC7D80">
              <w:rPr>
                <w:rFonts w:eastAsia="Times New Roman" w:cs="Arial"/>
                <w:color w:val="000000" w:themeColor="text1"/>
              </w:rPr>
              <w:t>so</w:t>
            </w:r>
            <w:r w:rsidRPr="00DC7D80">
              <w:rPr>
                <w:rFonts w:eastAsia="Times New Roman" w:cs="Arial"/>
                <w:color w:val="000000" w:themeColor="text1"/>
              </w:rPr>
              <w:t xml:space="preserve">urces </w:t>
            </w:r>
          </w:p>
          <w:p w14:paraId="0A3B16DC" w14:textId="280B3E9B" w:rsidR="00485B14" w:rsidRPr="00DC7D80" w:rsidRDefault="00485B14" w:rsidP="00B9381E">
            <w:pPr>
              <w:spacing w:after="150"/>
              <w:jc w:val="both"/>
              <w:rPr>
                <w:rFonts w:eastAsia="Times New Roman" w:cs="Times New Roman"/>
                <w:color w:val="000000" w:themeColor="text1"/>
              </w:rPr>
            </w:pPr>
          </w:p>
        </w:tc>
        <w:tc>
          <w:tcPr>
            <w:tcW w:w="2977" w:type="dxa"/>
            <w:hideMark/>
          </w:tcPr>
          <w:p w14:paraId="313DF770" w14:textId="64AC0301" w:rsidR="004F191F" w:rsidRPr="00DC7D80" w:rsidRDefault="00DD012E"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rPr>
            </w:pPr>
            <w:r>
              <w:rPr>
                <w:rFonts w:eastAsia="Times New Roman" w:cs="Arial"/>
                <w:color w:val="000000" w:themeColor="text1"/>
              </w:rPr>
              <w:t>See detail schedule</w:t>
            </w:r>
          </w:p>
          <w:p w14:paraId="7951EAD3" w14:textId="03EB7B32" w:rsidR="004F191F" w:rsidRPr="00DC7D80" w:rsidRDefault="004F191F" w:rsidP="00DD012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8647" w:type="dxa"/>
            <w:hideMark/>
          </w:tcPr>
          <w:p w14:paraId="7EB3E9DD" w14:textId="77777777" w:rsidR="00485B14" w:rsidRPr="00DC7D80" w:rsidRDefault="00485B14"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DC7D80">
              <w:rPr>
                <w:rFonts w:eastAsia="Times New Roman" w:cs="Arial"/>
                <w:i/>
                <w:iCs/>
                <w:color w:val="000000" w:themeColor="text1"/>
              </w:rPr>
              <w:t>EEF  </w:t>
            </w:r>
            <w:r w:rsidRPr="00DC7D80">
              <w:rPr>
                <w:rFonts w:eastAsia="Times New Roman" w:cs="Arial"/>
                <w:i/>
                <w:iCs/>
                <w:color w:val="000000" w:themeColor="text1"/>
                <w:shd w:val="clear" w:color="auto" w:fill="FFFFFF"/>
              </w:rPr>
              <w:t>Evidence indicates that one to one tuition can be effective, delivering approximately five additional months’ progress on average.</w:t>
            </w:r>
          </w:p>
        </w:tc>
      </w:tr>
      <w:tr w:rsidR="008F1C36" w:rsidRPr="00DC7D80" w14:paraId="45062C5B" w14:textId="77777777" w:rsidTr="00DD012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830" w:type="dxa"/>
            <w:hideMark/>
          </w:tcPr>
          <w:p w14:paraId="7DA72C4A" w14:textId="77777777" w:rsidR="00485B14" w:rsidRPr="00DC7D80" w:rsidRDefault="00485B14" w:rsidP="00B9381E">
            <w:pPr>
              <w:spacing w:after="150"/>
              <w:jc w:val="both"/>
              <w:rPr>
                <w:rFonts w:eastAsia="Times New Roman" w:cs="Times New Roman"/>
                <w:color w:val="000000" w:themeColor="text1"/>
              </w:rPr>
            </w:pPr>
            <w:r w:rsidRPr="00DC7D80">
              <w:rPr>
                <w:rFonts w:eastAsia="Times New Roman" w:cs="Arial"/>
                <w:color w:val="000000" w:themeColor="text1"/>
              </w:rPr>
              <w:lastRenderedPageBreak/>
              <w:t>Projected total spending</w:t>
            </w:r>
          </w:p>
        </w:tc>
        <w:tc>
          <w:tcPr>
            <w:tcW w:w="2977" w:type="dxa"/>
            <w:hideMark/>
          </w:tcPr>
          <w:p w14:paraId="115B1BDB" w14:textId="3B3A6F61" w:rsidR="00485B14" w:rsidRPr="00DC7D80" w:rsidRDefault="00485B14"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8647" w:type="dxa"/>
            <w:hideMark/>
          </w:tcPr>
          <w:p w14:paraId="6F485588" w14:textId="77777777" w:rsidR="00485B14" w:rsidRPr="00DC7D80" w:rsidRDefault="00485B14" w:rsidP="00B9381E">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DC7D80">
              <w:rPr>
                <w:rFonts w:eastAsia="Times New Roman" w:cs="Arial"/>
                <w:color w:val="000000" w:themeColor="text1"/>
              </w:rPr>
              <w:t> </w:t>
            </w:r>
          </w:p>
        </w:tc>
      </w:tr>
      <w:tr w:rsidR="003024C2" w:rsidRPr="00DC7D80" w14:paraId="4E19AA75" w14:textId="77777777" w:rsidTr="00DD012E">
        <w:trPr>
          <w:trHeight w:val="3083"/>
        </w:trPr>
        <w:tc>
          <w:tcPr>
            <w:cnfStyle w:val="001000000000" w:firstRow="0" w:lastRow="0" w:firstColumn="1" w:lastColumn="0" w:oddVBand="0" w:evenVBand="0" w:oddHBand="0" w:evenHBand="0" w:firstRowFirstColumn="0" w:firstRowLastColumn="0" w:lastRowFirstColumn="0" w:lastRowLastColumn="0"/>
            <w:tcW w:w="2830" w:type="dxa"/>
          </w:tcPr>
          <w:p w14:paraId="1841FB15" w14:textId="571CE5A3" w:rsidR="003024C2" w:rsidRPr="00DC7D80" w:rsidRDefault="003024C2" w:rsidP="00B9381E">
            <w:pPr>
              <w:spacing w:after="150"/>
              <w:jc w:val="both"/>
              <w:rPr>
                <w:rFonts w:eastAsia="Times New Roman" w:cs="Arial"/>
                <w:color w:val="000000" w:themeColor="text1"/>
              </w:rPr>
            </w:pPr>
            <w:r>
              <w:rPr>
                <w:rFonts w:eastAsia="Times New Roman" w:cs="Arial"/>
                <w:color w:val="000000" w:themeColor="text1"/>
              </w:rPr>
              <w:t>Total funding expected over year</w:t>
            </w:r>
          </w:p>
        </w:tc>
        <w:tc>
          <w:tcPr>
            <w:tcW w:w="2977" w:type="dxa"/>
          </w:tcPr>
          <w:p w14:paraId="364A1D16" w14:textId="56317489" w:rsidR="003024C2" w:rsidRPr="00DC7D80" w:rsidRDefault="003024C2"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Pr>
                <w:rFonts w:eastAsia="Times New Roman" w:cs="Times New Roman"/>
                <w:color w:val="000000" w:themeColor="text1"/>
              </w:rPr>
              <w:t>£1</w:t>
            </w:r>
            <w:r w:rsidR="00DD012E">
              <w:rPr>
                <w:rFonts w:eastAsia="Times New Roman" w:cs="Times New Roman"/>
                <w:color w:val="000000" w:themeColor="text1"/>
              </w:rPr>
              <w:t>1,840</w:t>
            </w:r>
          </w:p>
        </w:tc>
        <w:tc>
          <w:tcPr>
            <w:tcW w:w="8647" w:type="dxa"/>
          </w:tcPr>
          <w:p w14:paraId="52E1D7B4" w14:textId="77777777" w:rsidR="00DD012E" w:rsidRPr="00DC7D80" w:rsidRDefault="003024C2" w:rsidP="00DD012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rPr>
            </w:pPr>
            <w:r>
              <w:rPr>
                <w:rFonts w:eastAsia="Times New Roman" w:cs="Arial"/>
                <w:color w:val="000000" w:themeColor="text1"/>
              </w:rPr>
              <w:t xml:space="preserve"> </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3115"/>
              <w:gridCol w:w="2855"/>
            </w:tblGrid>
            <w:tr w:rsidR="00DD012E" w:rsidRPr="00DD012E" w14:paraId="785B869D" w14:textId="77777777" w:rsidTr="00DD012E">
              <w:trPr>
                <w:trHeight w:val="357"/>
              </w:trPr>
              <w:tc>
                <w:tcPr>
                  <w:tcW w:w="2566" w:type="dxa"/>
                  <w:shd w:val="clear" w:color="auto" w:fill="D9D9D9"/>
                </w:tcPr>
                <w:p w14:paraId="3D1CFDD1" w14:textId="77777777" w:rsidR="00DD012E" w:rsidRPr="00DD012E" w:rsidRDefault="00DD012E" w:rsidP="00DD012E">
                  <w:pPr>
                    <w:rPr>
                      <w:b/>
                      <w:sz w:val="18"/>
                      <w:szCs w:val="18"/>
                    </w:rPr>
                  </w:pPr>
                  <w:r w:rsidRPr="00DD012E">
                    <w:rPr>
                      <w:b/>
                      <w:sz w:val="18"/>
                      <w:szCs w:val="18"/>
                    </w:rPr>
                    <w:t>Expected expenditure</w:t>
                  </w:r>
                </w:p>
              </w:tc>
              <w:tc>
                <w:tcPr>
                  <w:tcW w:w="3115" w:type="dxa"/>
                  <w:shd w:val="clear" w:color="auto" w:fill="D9D9D9"/>
                </w:tcPr>
                <w:p w14:paraId="1C420435" w14:textId="77777777" w:rsidR="00DD012E" w:rsidRPr="00DD012E" w:rsidRDefault="00DD012E" w:rsidP="00DD012E">
                  <w:pPr>
                    <w:rPr>
                      <w:b/>
                      <w:sz w:val="18"/>
                      <w:szCs w:val="18"/>
                    </w:rPr>
                  </w:pPr>
                  <w:r w:rsidRPr="00DD012E">
                    <w:rPr>
                      <w:b/>
                      <w:sz w:val="18"/>
                      <w:szCs w:val="18"/>
                    </w:rPr>
                    <w:t>SAWN</w:t>
                  </w:r>
                </w:p>
              </w:tc>
              <w:tc>
                <w:tcPr>
                  <w:tcW w:w="2855" w:type="dxa"/>
                  <w:shd w:val="clear" w:color="auto" w:fill="D9D9D9"/>
                </w:tcPr>
                <w:p w14:paraId="2BA83175" w14:textId="77777777" w:rsidR="00DD012E" w:rsidRPr="00DD012E" w:rsidRDefault="00DD012E" w:rsidP="00DD012E">
                  <w:pPr>
                    <w:rPr>
                      <w:b/>
                      <w:sz w:val="18"/>
                      <w:szCs w:val="18"/>
                    </w:rPr>
                  </w:pPr>
                  <w:r w:rsidRPr="00DD012E">
                    <w:rPr>
                      <w:b/>
                      <w:sz w:val="18"/>
                      <w:szCs w:val="18"/>
                    </w:rPr>
                    <w:t>FPA</w:t>
                  </w:r>
                </w:p>
                <w:p w14:paraId="6E7E24ED" w14:textId="77777777" w:rsidR="00DD012E" w:rsidRPr="00DD012E" w:rsidRDefault="00DD012E" w:rsidP="00DD012E">
                  <w:pPr>
                    <w:rPr>
                      <w:b/>
                      <w:sz w:val="18"/>
                      <w:szCs w:val="18"/>
                    </w:rPr>
                  </w:pPr>
                </w:p>
              </w:tc>
            </w:tr>
            <w:tr w:rsidR="00DD012E" w:rsidRPr="00DD012E" w14:paraId="432FD69D" w14:textId="77777777" w:rsidTr="00DD012E">
              <w:trPr>
                <w:trHeight w:val="1035"/>
              </w:trPr>
              <w:tc>
                <w:tcPr>
                  <w:tcW w:w="2566" w:type="dxa"/>
                  <w:shd w:val="clear" w:color="auto" w:fill="auto"/>
                </w:tcPr>
                <w:p w14:paraId="6A48323D" w14:textId="77777777" w:rsidR="00DD012E" w:rsidRPr="00DD012E" w:rsidRDefault="00DD012E" w:rsidP="00DD012E">
                  <w:pPr>
                    <w:rPr>
                      <w:sz w:val="18"/>
                      <w:szCs w:val="18"/>
                    </w:rPr>
                  </w:pPr>
                  <w:r w:rsidRPr="00DD012E">
                    <w:rPr>
                      <w:sz w:val="18"/>
                      <w:szCs w:val="18"/>
                    </w:rPr>
                    <w:t xml:space="preserve">Interventions staffing </w:t>
                  </w:r>
                </w:p>
                <w:p w14:paraId="6EBC3C14" w14:textId="77777777" w:rsidR="00DD012E" w:rsidRPr="00DD012E" w:rsidRDefault="00DD012E" w:rsidP="00DD012E">
                  <w:pPr>
                    <w:rPr>
                      <w:sz w:val="18"/>
                      <w:szCs w:val="18"/>
                    </w:rPr>
                  </w:pPr>
                </w:p>
              </w:tc>
              <w:tc>
                <w:tcPr>
                  <w:tcW w:w="3115" w:type="dxa"/>
                  <w:shd w:val="clear" w:color="auto" w:fill="auto"/>
                </w:tcPr>
                <w:p w14:paraId="4659B703" w14:textId="77777777" w:rsidR="00DD012E" w:rsidRPr="00DD012E" w:rsidRDefault="00DD012E" w:rsidP="00DD012E">
                  <w:pPr>
                    <w:rPr>
                      <w:sz w:val="18"/>
                      <w:szCs w:val="18"/>
                    </w:rPr>
                  </w:pPr>
                  <w:r w:rsidRPr="00DD012E">
                    <w:rPr>
                      <w:sz w:val="18"/>
                      <w:szCs w:val="18"/>
                    </w:rPr>
                    <w:t>AC x 1 am (teacher)</w:t>
                  </w:r>
                </w:p>
                <w:p w14:paraId="7ACECFB8" w14:textId="77777777" w:rsidR="00DD012E" w:rsidRPr="00DD012E" w:rsidRDefault="00DD012E" w:rsidP="00DD012E">
                  <w:pPr>
                    <w:rPr>
                      <w:b/>
                      <w:sz w:val="18"/>
                      <w:szCs w:val="18"/>
                    </w:rPr>
                  </w:pPr>
                  <w:r w:rsidRPr="00DD012E">
                    <w:rPr>
                      <w:b/>
                      <w:sz w:val="18"/>
                      <w:szCs w:val="18"/>
                    </w:rPr>
                    <w:t>£ 1,824.00 (2 terms)</w:t>
                  </w:r>
                </w:p>
                <w:p w14:paraId="6B03B9AE" w14:textId="77777777" w:rsidR="00DD012E" w:rsidRPr="00DD012E" w:rsidRDefault="00DD012E" w:rsidP="00DD012E">
                  <w:pPr>
                    <w:rPr>
                      <w:b/>
                      <w:sz w:val="18"/>
                      <w:szCs w:val="18"/>
                    </w:rPr>
                  </w:pPr>
                </w:p>
                <w:p w14:paraId="08F74186" w14:textId="77777777" w:rsidR="00DD012E" w:rsidRPr="00DD012E" w:rsidRDefault="00DD012E" w:rsidP="00DD012E">
                  <w:pPr>
                    <w:rPr>
                      <w:sz w:val="18"/>
                      <w:szCs w:val="18"/>
                    </w:rPr>
                  </w:pPr>
                  <w:r w:rsidRPr="00DD012E">
                    <w:rPr>
                      <w:sz w:val="18"/>
                      <w:szCs w:val="18"/>
                    </w:rPr>
                    <w:t>TA sessions (8hpw)</w:t>
                  </w:r>
                </w:p>
                <w:p w14:paraId="10996828" w14:textId="77777777" w:rsidR="00DD012E" w:rsidRPr="00DD012E" w:rsidRDefault="00DD012E" w:rsidP="00DD012E">
                  <w:pPr>
                    <w:rPr>
                      <w:b/>
                      <w:sz w:val="18"/>
                      <w:szCs w:val="18"/>
                    </w:rPr>
                  </w:pPr>
                  <w:r w:rsidRPr="00DD012E">
                    <w:rPr>
                      <w:b/>
                      <w:sz w:val="18"/>
                      <w:szCs w:val="18"/>
                    </w:rPr>
                    <w:t>£ 2,904.00</w:t>
                  </w:r>
                </w:p>
              </w:tc>
              <w:tc>
                <w:tcPr>
                  <w:tcW w:w="2855" w:type="dxa"/>
                </w:tcPr>
                <w:p w14:paraId="683D7C07" w14:textId="77777777" w:rsidR="00DD012E" w:rsidRPr="00DD012E" w:rsidRDefault="00DD012E" w:rsidP="00DD012E">
                  <w:pPr>
                    <w:rPr>
                      <w:sz w:val="18"/>
                      <w:szCs w:val="18"/>
                    </w:rPr>
                  </w:pPr>
                  <w:r w:rsidRPr="00DD012E">
                    <w:rPr>
                      <w:sz w:val="18"/>
                      <w:szCs w:val="18"/>
                    </w:rPr>
                    <w:t>AC x 1 am (teacher)</w:t>
                  </w:r>
                </w:p>
                <w:p w14:paraId="19CC0CE9" w14:textId="77777777" w:rsidR="00DD012E" w:rsidRPr="00DD012E" w:rsidRDefault="00DD012E" w:rsidP="00DD012E">
                  <w:pPr>
                    <w:rPr>
                      <w:b/>
                      <w:sz w:val="18"/>
                      <w:szCs w:val="18"/>
                    </w:rPr>
                  </w:pPr>
                  <w:r w:rsidRPr="00DD012E">
                    <w:rPr>
                      <w:b/>
                      <w:sz w:val="18"/>
                      <w:szCs w:val="18"/>
                    </w:rPr>
                    <w:t>£ 1,824.00 (2 terms)</w:t>
                  </w:r>
                </w:p>
                <w:p w14:paraId="4417FD7E" w14:textId="77777777" w:rsidR="00DD012E" w:rsidRPr="00DD012E" w:rsidRDefault="00DD012E" w:rsidP="00DD012E">
                  <w:pPr>
                    <w:rPr>
                      <w:b/>
                      <w:sz w:val="18"/>
                      <w:szCs w:val="18"/>
                    </w:rPr>
                  </w:pPr>
                </w:p>
                <w:p w14:paraId="6764A31D" w14:textId="77777777" w:rsidR="00DD012E" w:rsidRPr="00DD012E" w:rsidRDefault="00DD012E" w:rsidP="00DD012E">
                  <w:pPr>
                    <w:rPr>
                      <w:sz w:val="18"/>
                      <w:szCs w:val="18"/>
                    </w:rPr>
                  </w:pPr>
                  <w:r w:rsidRPr="00DD012E">
                    <w:rPr>
                      <w:sz w:val="18"/>
                      <w:szCs w:val="18"/>
                    </w:rPr>
                    <w:t xml:space="preserve">TA sessions (4 </w:t>
                  </w:r>
                  <w:proofErr w:type="spellStart"/>
                  <w:r w:rsidRPr="00DD012E">
                    <w:rPr>
                      <w:sz w:val="18"/>
                      <w:szCs w:val="18"/>
                    </w:rPr>
                    <w:t>hpw</w:t>
                  </w:r>
                  <w:proofErr w:type="spellEnd"/>
                  <w:r w:rsidRPr="00DD012E">
                    <w:rPr>
                      <w:sz w:val="18"/>
                      <w:szCs w:val="18"/>
                    </w:rPr>
                    <w:t>)</w:t>
                  </w:r>
                </w:p>
                <w:p w14:paraId="1AD26F4C" w14:textId="77777777" w:rsidR="00DD012E" w:rsidRPr="00DD012E" w:rsidRDefault="00DD012E" w:rsidP="00DD012E">
                  <w:pPr>
                    <w:rPr>
                      <w:b/>
                      <w:sz w:val="18"/>
                      <w:szCs w:val="18"/>
                    </w:rPr>
                  </w:pPr>
                  <w:r w:rsidRPr="00DD012E">
                    <w:rPr>
                      <w:b/>
                      <w:sz w:val="18"/>
                      <w:szCs w:val="18"/>
                    </w:rPr>
                    <w:t>£ 1,452.00</w:t>
                  </w:r>
                </w:p>
                <w:p w14:paraId="16046F55" w14:textId="77777777" w:rsidR="00DD012E" w:rsidRPr="00DD012E" w:rsidRDefault="00DD012E" w:rsidP="00DD012E">
                  <w:pPr>
                    <w:rPr>
                      <w:b/>
                      <w:sz w:val="18"/>
                      <w:szCs w:val="18"/>
                    </w:rPr>
                  </w:pPr>
                </w:p>
              </w:tc>
            </w:tr>
            <w:tr w:rsidR="00DD012E" w:rsidRPr="00DD012E" w14:paraId="358DCF35" w14:textId="77777777" w:rsidTr="00DD012E">
              <w:trPr>
                <w:trHeight w:val="392"/>
              </w:trPr>
              <w:tc>
                <w:tcPr>
                  <w:tcW w:w="2566" w:type="dxa"/>
                  <w:shd w:val="clear" w:color="auto" w:fill="auto"/>
                </w:tcPr>
                <w:p w14:paraId="1D490A7F" w14:textId="77777777" w:rsidR="00DD012E" w:rsidRPr="00DD012E" w:rsidRDefault="00DD012E" w:rsidP="00DD012E">
                  <w:pPr>
                    <w:rPr>
                      <w:sz w:val="18"/>
                      <w:szCs w:val="18"/>
                    </w:rPr>
                  </w:pPr>
                  <w:r w:rsidRPr="00DD012E">
                    <w:rPr>
                      <w:sz w:val="18"/>
                      <w:szCs w:val="18"/>
                    </w:rPr>
                    <w:t>Resources</w:t>
                  </w:r>
                </w:p>
                <w:p w14:paraId="16246C3A" w14:textId="77777777" w:rsidR="00DD012E" w:rsidRPr="00DD012E" w:rsidRDefault="00DD012E" w:rsidP="00DD012E">
                  <w:pPr>
                    <w:rPr>
                      <w:sz w:val="18"/>
                      <w:szCs w:val="18"/>
                    </w:rPr>
                  </w:pPr>
                  <w:r w:rsidRPr="00DD012E">
                    <w:rPr>
                      <w:sz w:val="18"/>
                      <w:szCs w:val="18"/>
                    </w:rPr>
                    <w:t>PATHS</w:t>
                  </w:r>
                </w:p>
              </w:tc>
              <w:tc>
                <w:tcPr>
                  <w:tcW w:w="3115" w:type="dxa"/>
                  <w:shd w:val="clear" w:color="auto" w:fill="auto"/>
                </w:tcPr>
                <w:p w14:paraId="0E58A87E" w14:textId="77777777" w:rsidR="00DD012E" w:rsidRPr="00DD012E" w:rsidRDefault="00DD012E" w:rsidP="00DD012E">
                  <w:pPr>
                    <w:rPr>
                      <w:b/>
                      <w:sz w:val="18"/>
                      <w:szCs w:val="18"/>
                    </w:rPr>
                  </w:pPr>
                  <w:r w:rsidRPr="00DD012E">
                    <w:rPr>
                      <w:b/>
                      <w:sz w:val="18"/>
                      <w:szCs w:val="18"/>
                    </w:rPr>
                    <w:t>£ 1,150.00</w:t>
                  </w:r>
                </w:p>
              </w:tc>
              <w:tc>
                <w:tcPr>
                  <w:tcW w:w="2855" w:type="dxa"/>
                </w:tcPr>
                <w:p w14:paraId="7A449ED2" w14:textId="77777777" w:rsidR="00DD012E" w:rsidRPr="00DD012E" w:rsidRDefault="00DD012E" w:rsidP="00DD012E">
                  <w:pPr>
                    <w:rPr>
                      <w:b/>
                      <w:sz w:val="18"/>
                      <w:szCs w:val="18"/>
                    </w:rPr>
                  </w:pPr>
                  <w:r w:rsidRPr="00DD012E">
                    <w:rPr>
                      <w:b/>
                      <w:sz w:val="18"/>
                      <w:szCs w:val="18"/>
                    </w:rPr>
                    <w:t>£1,150.00</w:t>
                  </w:r>
                </w:p>
              </w:tc>
            </w:tr>
            <w:tr w:rsidR="00DD012E" w:rsidRPr="00DD012E" w14:paraId="2DDEFE1C" w14:textId="77777777" w:rsidTr="00DD012E">
              <w:trPr>
                <w:trHeight w:val="357"/>
              </w:trPr>
              <w:tc>
                <w:tcPr>
                  <w:tcW w:w="2566" w:type="dxa"/>
                  <w:shd w:val="clear" w:color="auto" w:fill="auto"/>
                </w:tcPr>
                <w:p w14:paraId="1C52F3E8" w14:textId="77777777" w:rsidR="00DD012E" w:rsidRPr="00DD012E" w:rsidRDefault="00DD012E" w:rsidP="00DD012E">
                  <w:pPr>
                    <w:rPr>
                      <w:sz w:val="18"/>
                      <w:szCs w:val="18"/>
                    </w:rPr>
                  </w:pPr>
                  <w:proofErr w:type="spellStart"/>
                  <w:r w:rsidRPr="00DD012E">
                    <w:rPr>
                      <w:sz w:val="18"/>
                      <w:szCs w:val="18"/>
                    </w:rPr>
                    <w:t>Sumdog</w:t>
                  </w:r>
                  <w:proofErr w:type="spellEnd"/>
                </w:p>
              </w:tc>
              <w:tc>
                <w:tcPr>
                  <w:tcW w:w="3115" w:type="dxa"/>
                  <w:shd w:val="clear" w:color="auto" w:fill="auto"/>
                </w:tcPr>
                <w:p w14:paraId="3563C1FB" w14:textId="77777777" w:rsidR="00DD012E" w:rsidRPr="00DD012E" w:rsidRDefault="00DD012E" w:rsidP="00DD012E">
                  <w:pPr>
                    <w:rPr>
                      <w:b/>
                      <w:sz w:val="18"/>
                      <w:szCs w:val="18"/>
                    </w:rPr>
                  </w:pPr>
                  <w:r w:rsidRPr="00DD012E">
                    <w:rPr>
                      <w:b/>
                      <w:sz w:val="18"/>
                      <w:szCs w:val="18"/>
                    </w:rPr>
                    <w:t>£    360.00</w:t>
                  </w:r>
                </w:p>
              </w:tc>
              <w:tc>
                <w:tcPr>
                  <w:tcW w:w="2855" w:type="dxa"/>
                </w:tcPr>
                <w:p w14:paraId="4F158496" w14:textId="77777777" w:rsidR="00DD012E" w:rsidRPr="00DD012E" w:rsidRDefault="00DD012E" w:rsidP="00DD012E">
                  <w:pPr>
                    <w:rPr>
                      <w:b/>
                      <w:sz w:val="18"/>
                      <w:szCs w:val="18"/>
                    </w:rPr>
                  </w:pPr>
                  <w:r w:rsidRPr="00DD012E">
                    <w:rPr>
                      <w:b/>
                      <w:sz w:val="18"/>
                      <w:szCs w:val="18"/>
                    </w:rPr>
                    <w:t>£   275.00</w:t>
                  </w:r>
                </w:p>
                <w:p w14:paraId="078C567F" w14:textId="77777777" w:rsidR="00DD012E" w:rsidRPr="00DD012E" w:rsidRDefault="00DD012E" w:rsidP="00DD012E">
                  <w:pPr>
                    <w:rPr>
                      <w:b/>
                      <w:sz w:val="18"/>
                      <w:szCs w:val="18"/>
                    </w:rPr>
                  </w:pPr>
                </w:p>
              </w:tc>
            </w:tr>
            <w:tr w:rsidR="00DD012E" w:rsidRPr="00DD012E" w14:paraId="119EBD04" w14:textId="77777777" w:rsidTr="00DD012E">
              <w:trPr>
                <w:trHeight w:val="178"/>
              </w:trPr>
              <w:tc>
                <w:tcPr>
                  <w:tcW w:w="2566" w:type="dxa"/>
                  <w:shd w:val="clear" w:color="auto" w:fill="auto"/>
                </w:tcPr>
                <w:p w14:paraId="5EC745F2" w14:textId="77777777" w:rsidR="00DD012E" w:rsidRPr="00DD012E" w:rsidRDefault="00DD012E" w:rsidP="00DD012E">
                  <w:pPr>
                    <w:rPr>
                      <w:sz w:val="18"/>
                      <w:szCs w:val="18"/>
                    </w:rPr>
                  </w:pPr>
                  <w:r w:rsidRPr="00DD012E">
                    <w:rPr>
                      <w:sz w:val="18"/>
                      <w:szCs w:val="18"/>
                    </w:rPr>
                    <w:t>Totals (annual)</w:t>
                  </w:r>
                </w:p>
              </w:tc>
              <w:tc>
                <w:tcPr>
                  <w:tcW w:w="3115" w:type="dxa"/>
                  <w:shd w:val="clear" w:color="auto" w:fill="auto"/>
                </w:tcPr>
                <w:p w14:paraId="1DD34396" w14:textId="77777777" w:rsidR="00DD012E" w:rsidRPr="00DD012E" w:rsidRDefault="00DD012E" w:rsidP="00DD012E">
                  <w:pPr>
                    <w:rPr>
                      <w:b/>
                      <w:sz w:val="18"/>
                      <w:szCs w:val="18"/>
                    </w:rPr>
                  </w:pPr>
                  <w:r w:rsidRPr="00DD012E">
                    <w:rPr>
                      <w:b/>
                      <w:sz w:val="18"/>
                      <w:szCs w:val="18"/>
                    </w:rPr>
                    <w:t>£ 6,238.00</w:t>
                  </w:r>
                </w:p>
              </w:tc>
              <w:tc>
                <w:tcPr>
                  <w:tcW w:w="2855" w:type="dxa"/>
                </w:tcPr>
                <w:p w14:paraId="4CD48FD5" w14:textId="77777777" w:rsidR="00DD012E" w:rsidRPr="00DD012E" w:rsidRDefault="00DD012E" w:rsidP="00DD012E">
                  <w:pPr>
                    <w:rPr>
                      <w:b/>
                      <w:sz w:val="18"/>
                      <w:szCs w:val="18"/>
                    </w:rPr>
                  </w:pPr>
                  <w:r w:rsidRPr="00DD012E">
                    <w:rPr>
                      <w:b/>
                      <w:sz w:val="18"/>
                      <w:szCs w:val="18"/>
                    </w:rPr>
                    <w:t>£ 4,701.00</w:t>
                  </w:r>
                </w:p>
              </w:tc>
            </w:tr>
          </w:tbl>
          <w:p w14:paraId="1FB973E2" w14:textId="7C01247D" w:rsidR="00DD012E" w:rsidRPr="00DC7D80" w:rsidRDefault="00DD012E" w:rsidP="00DD012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rPr>
            </w:pPr>
          </w:p>
          <w:p w14:paraId="544AA145" w14:textId="7409F0B7" w:rsidR="003024C2" w:rsidRPr="00DC7D80" w:rsidRDefault="003024C2" w:rsidP="00B9381E">
            <w:pPr>
              <w:spacing w:after="150"/>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rPr>
            </w:pPr>
          </w:p>
        </w:tc>
      </w:tr>
    </w:tbl>
    <w:p w14:paraId="568A45A5" w14:textId="1F5C86B8" w:rsidR="008E2ED7" w:rsidRPr="00DC7D80" w:rsidRDefault="008E2ED7" w:rsidP="00B9381E">
      <w:pPr>
        <w:jc w:val="both"/>
        <w:rPr>
          <w:color w:val="000000" w:themeColor="text1"/>
        </w:rPr>
      </w:pPr>
    </w:p>
    <w:sectPr w:rsidR="008E2ED7" w:rsidRPr="00DC7D80" w:rsidSect="00DD012E">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14"/>
    <w:rsid w:val="000132D4"/>
    <w:rsid w:val="0024517B"/>
    <w:rsid w:val="002E60C7"/>
    <w:rsid w:val="003024C2"/>
    <w:rsid w:val="00485B14"/>
    <w:rsid w:val="004F191F"/>
    <w:rsid w:val="005E2149"/>
    <w:rsid w:val="00695D98"/>
    <w:rsid w:val="007F74E4"/>
    <w:rsid w:val="008E2ED7"/>
    <w:rsid w:val="008F1C36"/>
    <w:rsid w:val="00B9381E"/>
    <w:rsid w:val="00DC7D80"/>
    <w:rsid w:val="00DD012E"/>
    <w:rsid w:val="00F555CA"/>
    <w:rsid w:val="00FD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D26F"/>
  <w14:defaultImageDpi w14:val="32767"/>
  <w15:chartTrackingRefBased/>
  <w15:docId w15:val="{2B506705-E4C9-5C46-B91B-CF658F41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B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5B14"/>
    <w:rPr>
      <w:b/>
      <w:bCs/>
    </w:rPr>
  </w:style>
  <w:style w:type="character" w:styleId="Emphasis">
    <w:name w:val="Emphasis"/>
    <w:basedOn w:val="DefaultParagraphFont"/>
    <w:uiPriority w:val="20"/>
    <w:qFormat/>
    <w:rsid w:val="00485B14"/>
    <w:rPr>
      <w:i/>
      <w:iCs/>
    </w:rPr>
  </w:style>
  <w:style w:type="character" w:styleId="Hyperlink">
    <w:name w:val="Hyperlink"/>
    <w:basedOn w:val="DefaultParagraphFont"/>
    <w:uiPriority w:val="99"/>
    <w:semiHidden/>
    <w:unhideWhenUsed/>
    <w:rsid w:val="00485B14"/>
    <w:rPr>
      <w:color w:val="0000FF"/>
      <w:u w:val="single"/>
    </w:rPr>
  </w:style>
  <w:style w:type="table" w:styleId="PlainTable1">
    <w:name w:val="Plain Table 1"/>
    <w:basedOn w:val="TableNormal"/>
    <w:uiPriority w:val="41"/>
    <w:rsid w:val="00DC7D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DC7D8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C7D8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early-years-support-package-to-help-close-covid-language-gap" TargetMode="External"/><Relationship Id="rId4" Type="http://schemas.openxmlformats.org/officeDocument/2006/relationships/hyperlink" Target="https://www.gov.uk/government/news/early-years-support-package-to-help-close-covid-language-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Gayton Church Of England Primary Academy</dc:creator>
  <cp:keywords/>
  <dc:description/>
  <cp:lastModifiedBy>Head - Sandringham and West Newton Church of England Primary Academy</cp:lastModifiedBy>
  <cp:revision>2</cp:revision>
  <dcterms:created xsi:type="dcterms:W3CDTF">2020-12-15T16:30:00Z</dcterms:created>
  <dcterms:modified xsi:type="dcterms:W3CDTF">2020-12-15T16:30:00Z</dcterms:modified>
</cp:coreProperties>
</file>