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6B08" w14:textId="03ACF037" w:rsidR="00CE71CD" w:rsidRPr="00946358" w:rsidRDefault="0046136C" w:rsidP="00B0079B">
      <w:pPr>
        <w:spacing w:after="0" w:line="240" w:lineRule="auto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97FC93" wp14:editId="25D011BC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230759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ight>
            <wp:docPr id="5" name="Picture 5" descr="C:\Users\User\Downloads\St-Benet%27s-MAT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ownloads\St-Benet%27s-MAT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CD">
        <w:rPr>
          <w:noProof/>
          <w:lang w:eastAsia="en-GB"/>
        </w:rPr>
        <w:drawing>
          <wp:anchor distT="0" distB="0" distL="114935" distR="114935" simplePos="0" relativeHeight="251659264" behindDoc="1" locked="0" layoutInCell="1" allowOverlap="1" wp14:anchorId="1311921C" wp14:editId="241F00BC">
            <wp:simplePos x="0" y="0"/>
            <wp:positionH relativeFrom="column">
              <wp:posOffset>3817620</wp:posOffset>
            </wp:positionH>
            <wp:positionV relativeFrom="paragraph">
              <wp:posOffset>-149225</wp:posOffset>
            </wp:positionV>
            <wp:extent cx="2200910" cy="823595"/>
            <wp:effectExtent l="0" t="0" r="8890" b="0"/>
            <wp:wrapTight wrapText="bothSides">
              <wp:wrapPolygon edited="0">
                <wp:start x="0" y="0"/>
                <wp:lineTo x="0" y="20984"/>
                <wp:lineTo x="21500" y="20984"/>
                <wp:lineTo x="21500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EF123" w14:textId="0BBD9940" w:rsidR="00CE71CD" w:rsidRPr="00946358" w:rsidRDefault="00CE71CD" w:rsidP="00CE71CD">
      <w:pPr>
        <w:spacing w:after="0" w:line="240" w:lineRule="auto"/>
      </w:pPr>
    </w:p>
    <w:p w14:paraId="0265C6C0" w14:textId="77777777" w:rsidR="00CE71CD" w:rsidRDefault="00CE71CD" w:rsidP="00CE71CD">
      <w:pPr>
        <w:spacing w:after="0" w:line="240" w:lineRule="auto"/>
      </w:pPr>
    </w:p>
    <w:p w14:paraId="1586711F" w14:textId="77777777" w:rsidR="00CE71CD" w:rsidRDefault="00CE71CD" w:rsidP="00CE71CD">
      <w:pPr>
        <w:spacing w:after="0" w:line="240" w:lineRule="auto"/>
      </w:pPr>
    </w:p>
    <w:p w14:paraId="61AE5CAC" w14:textId="77777777" w:rsidR="00CE71CD" w:rsidRDefault="00CE71CD" w:rsidP="00CE71CD">
      <w:pPr>
        <w:spacing w:after="0" w:line="240" w:lineRule="auto"/>
      </w:pPr>
    </w:p>
    <w:p w14:paraId="79261BFB" w14:textId="77777777" w:rsidR="00CE71CD" w:rsidRDefault="00CE71CD" w:rsidP="00CE71CD">
      <w:pPr>
        <w:spacing w:after="0" w:line="240" w:lineRule="auto"/>
      </w:pPr>
    </w:p>
    <w:p w14:paraId="460C62CC" w14:textId="77777777" w:rsidR="00CE71CD" w:rsidRDefault="00CE71CD" w:rsidP="00CE71CD">
      <w:pPr>
        <w:spacing w:after="0" w:line="240" w:lineRule="auto"/>
      </w:pPr>
    </w:p>
    <w:p w14:paraId="6436F443" w14:textId="77777777" w:rsidR="00CE71CD" w:rsidRDefault="00CE71CD" w:rsidP="00CE71CD">
      <w:pPr>
        <w:spacing w:after="0" w:line="240" w:lineRule="auto"/>
      </w:pPr>
    </w:p>
    <w:p w14:paraId="6E25E8AC" w14:textId="77777777" w:rsidR="00CE71CD" w:rsidRDefault="00CE71CD" w:rsidP="00CE71CD">
      <w:pPr>
        <w:spacing w:after="0" w:line="240" w:lineRule="auto"/>
      </w:pPr>
    </w:p>
    <w:p w14:paraId="3F5BFD3B" w14:textId="77777777" w:rsidR="00CE71CD" w:rsidRDefault="00CE71CD" w:rsidP="00CE71CD">
      <w:pPr>
        <w:spacing w:after="0" w:line="240" w:lineRule="auto"/>
      </w:pPr>
    </w:p>
    <w:p w14:paraId="470E85E4" w14:textId="77777777" w:rsidR="00CE71CD" w:rsidRDefault="00CE71CD" w:rsidP="00CE71CD">
      <w:pPr>
        <w:spacing w:after="0" w:line="240" w:lineRule="auto"/>
      </w:pPr>
    </w:p>
    <w:p w14:paraId="13336448" w14:textId="77777777" w:rsidR="00CE71CD" w:rsidRDefault="00CE71CD" w:rsidP="00CE71CD">
      <w:pPr>
        <w:spacing w:after="0" w:line="240" w:lineRule="auto"/>
      </w:pPr>
    </w:p>
    <w:p w14:paraId="359AD993" w14:textId="36F60343" w:rsidR="00CE71CD" w:rsidRPr="00B0079B" w:rsidRDefault="00CE71CD" w:rsidP="0046136C">
      <w:pPr>
        <w:spacing w:after="0" w:line="240" w:lineRule="auto"/>
        <w:rPr>
          <w:b/>
          <w:color w:val="7030A0"/>
          <w:sz w:val="56"/>
          <w:szCs w:val="56"/>
        </w:rPr>
      </w:pPr>
    </w:p>
    <w:p w14:paraId="1099B7D1" w14:textId="77777777" w:rsidR="00CE71CD" w:rsidRPr="00D06446" w:rsidRDefault="00CE71CD" w:rsidP="00CE71CD">
      <w:pPr>
        <w:spacing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  <w:r w:rsidRPr="00D06446">
        <w:rPr>
          <w:rFonts w:ascii="Calibri" w:hAnsi="Calibri" w:cs="Calibri"/>
          <w:b/>
          <w:color w:val="7030A0"/>
          <w:sz w:val="56"/>
          <w:szCs w:val="56"/>
        </w:rPr>
        <w:t xml:space="preserve">LOCAL GOVERNING BODY </w:t>
      </w:r>
    </w:p>
    <w:p w14:paraId="742D977A" w14:textId="2B9B7550" w:rsidR="00CE71CD" w:rsidRPr="00D06446" w:rsidRDefault="00CE71CD" w:rsidP="00CE71CD">
      <w:pPr>
        <w:spacing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  <w:r w:rsidRPr="00D06446">
        <w:rPr>
          <w:rFonts w:ascii="Calibri" w:hAnsi="Calibri" w:cs="Calibri"/>
          <w:b/>
          <w:color w:val="7030A0"/>
          <w:sz w:val="56"/>
          <w:szCs w:val="56"/>
        </w:rPr>
        <w:t>SELF-ASSESSMENT FORM</w:t>
      </w:r>
    </w:p>
    <w:p w14:paraId="05F03703" w14:textId="6EF3FD35" w:rsidR="003A00FA" w:rsidRDefault="003A00FA" w:rsidP="00CE71CD">
      <w:pPr>
        <w:spacing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</w:p>
    <w:p w14:paraId="2145BE6F" w14:textId="77777777" w:rsidR="00FC52D1" w:rsidRPr="00D06446" w:rsidRDefault="00FC52D1" w:rsidP="00CE71CD">
      <w:pPr>
        <w:spacing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</w:p>
    <w:p w14:paraId="0816B5A2" w14:textId="75B13F90" w:rsidR="009A7862" w:rsidRPr="00D06446" w:rsidRDefault="009A7862" w:rsidP="00CE71CD">
      <w:pPr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 w:rsidRPr="00D06446">
        <w:rPr>
          <w:rFonts w:ascii="Calibri" w:hAnsi="Calibri" w:cs="Calibri"/>
          <w:b/>
          <w:color w:val="7030A0"/>
          <w:sz w:val="52"/>
          <w:szCs w:val="52"/>
        </w:rPr>
        <w:t>SEPTEMBER 20</w:t>
      </w:r>
      <w:r w:rsidR="00F56228">
        <w:rPr>
          <w:rFonts w:ascii="Calibri" w:hAnsi="Calibri" w:cs="Calibri"/>
          <w:b/>
          <w:color w:val="7030A0"/>
          <w:sz w:val="52"/>
          <w:szCs w:val="52"/>
        </w:rPr>
        <w:t>20</w:t>
      </w:r>
      <w:r w:rsidRPr="00D06446">
        <w:rPr>
          <w:rFonts w:ascii="Calibri" w:hAnsi="Calibri" w:cs="Calibri"/>
          <w:b/>
          <w:color w:val="7030A0"/>
          <w:sz w:val="52"/>
          <w:szCs w:val="52"/>
        </w:rPr>
        <w:t xml:space="preserve"> – AUGUST 202</w:t>
      </w:r>
      <w:r w:rsidR="00F56228">
        <w:rPr>
          <w:rFonts w:ascii="Calibri" w:hAnsi="Calibri" w:cs="Calibri"/>
          <w:b/>
          <w:color w:val="7030A0"/>
          <w:sz w:val="52"/>
          <w:szCs w:val="52"/>
        </w:rPr>
        <w:t>1</w:t>
      </w:r>
    </w:p>
    <w:p w14:paraId="14191943" w14:textId="77777777" w:rsidR="00CE71CD" w:rsidRPr="00D06446" w:rsidRDefault="00CE71CD" w:rsidP="00CE71CD">
      <w:pPr>
        <w:spacing w:after="0" w:line="240" w:lineRule="auto"/>
        <w:rPr>
          <w:rFonts w:ascii="Calibri" w:hAnsi="Calibri" w:cs="Calibri"/>
        </w:rPr>
      </w:pPr>
    </w:p>
    <w:p w14:paraId="21EACF39" w14:textId="77777777" w:rsidR="004E4C01" w:rsidRPr="00D06446" w:rsidRDefault="004E4C01" w:rsidP="004E4C01">
      <w:pPr>
        <w:jc w:val="both"/>
        <w:rPr>
          <w:rFonts w:ascii="Calibri" w:hAnsi="Calibri" w:cs="Calibri"/>
        </w:rPr>
      </w:pPr>
    </w:p>
    <w:p w14:paraId="481C73CE" w14:textId="77777777" w:rsidR="00B0079B" w:rsidRPr="00D06446" w:rsidRDefault="00B0079B" w:rsidP="004E4C01">
      <w:pPr>
        <w:jc w:val="both"/>
        <w:rPr>
          <w:rFonts w:ascii="Calibri" w:hAnsi="Calibri" w:cs="Calibri"/>
        </w:rPr>
      </w:pPr>
    </w:p>
    <w:p w14:paraId="646A97F3" w14:textId="0351CBBF" w:rsidR="004E4C01" w:rsidRPr="00D06446" w:rsidRDefault="004E4C01" w:rsidP="004E4C01">
      <w:pPr>
        <w:jc w:val="both"/>
        <w:rPr>
          <w:rFonts w:ascii="Calibri" w:hAnsi="Calibri" w:cs="Calibri"/>
          <w:color w:val="7030A0"/>
          <w:sz w:val="24"/>
          <w:szCs w:val="24"/>
        </w:rPr>
      </w:pPr>
      <w:r w:rsidRPr="00D06446">
        <w:rPr>
          <w:rFonts w:ascii="Calibri" w:hAnsi="Calibri" w:cs="Calibri"/>
          <w:color w:val="7030A0"/>
          <w:sz w:val="24"/>
          <w:szCs w:val="24"/>
        </w:rPr>
        <w:t xml:space="preserve">Please complete the form below collectively as a local governing body during the summer term and upload the completed document to GovernorHub in the Academy Specific Resources folder by </w:t>
      </w:r>
      <w:r w:rsidRPr="00D06446">
        <w:rPr>
          <w:rFonts w:ascii="Calibri" w:hAnsi="Calibri" w:cs="Calibri"/>
          <w:b/>
          <w:color w:val="7030A0"/>
          <w:sz w:val="24"/>
          <w:szCs w:val="24"/>
        </w:rPr>
        <w:t xml:space="preserve">31 </w:t>
      </w:r>
      <w:r w:rsidR="005E335A" w:rsidRPr="00D06446">
        <w:rPr>
          <w:rFonts w:ascii="Calibri" w:hAnsi="Calibri" w:cs="Calibri"/>
          <w:b/>
          <w:color w:val="7030A0"/>
          <w:sz w:val="24"/>
          <w:szCs w:val="24"/>
        </w:rPr>
        <w:t>August</w:t>
      </w:r>
      <w:r w:rsidRPr="00D06446">
        <w:rPr>
          <w:rFonts w:ascii="Calibri" w:hAnsi="Calibri" w:cs="Calibri"/>
          <w:b/>
          <w:color w:val="7030A0"/>
          <w:sz w:val="24"/>
          <w:szCs w:val="24"/>
        </w:rPr>
        <w:t xml:space="preserve"> 20</w:t>
      </w:r>
      <w:r w:rsidR="005E335A" w:rsidRPr="00D06446">
        <w:rPr>
          <w:rFonts w:ascii="Calibri" w:hAnsi="Calibri" w:cs="Calibri"/>
          <w:b/>
          <w:color w:val="7030A0"/>
          <w:sz w:val="24"/>
          <w:szCs w:val="24"/>
        </w:rPr>
        <w:t>2</w:t>
      </w:r>
      <w:r w:rsidR="006565F9">
        <w:rPr>
          <w:rFonts w:ascii="Calibri" w:hAnsi="Calibri" w:cs="Calibri"/>
          <w:b/>
          <w:color w:val="7030A0"/>
          <w:sz w:val="24"/>
          <w:szCs w:val="24"/>
        </w:rPr>
        <w:t>1</w:t>
      </w:r>
      <w:r w:rsidR="003A00FA" w:rsidRPr="00D06446">
        <w:rPr>
          <w:rFonts w:ascii="Calibri" w:hAnsi="Calibri" w:cs="Calibri"/>
          <w:color w:val="7030A0"/>
          <w:sz w:val="24"/>
          <w:szCs w:val="24"/>
        </w:rPr>
        <w:t xml:space="preserve"> </w:t>
      </w:r>
      <w:r w:rsidR="003A00FA" w:rsidRPr="006565F9">
        <w:rPr>
          <w:rFonts w:ascii="Calibri" w:hAnsi="Calibri" w:cs="Calibri"/>
          <w:color w:val="7030A0"/>
          <w:sz w:val="24"/>
          <w:szCs w:val="24"/>
          <w:u w:val="single"/>
        </w:rPr>
        <w:t>and</w:t>
      </w:r>
      <w:r w:rsidR="003A00FA" w:rsidRPr="00D06446">
        <w:rPr>
          <w:rFonts w:ascii="Calibri" w:hAnsi="Calibri" w:cs="Calibri"/>
          <w:color w:val="7030A0"/>
          <w:sz w:val="24"/>
          <w:szCs w:val="24"/>
        </w:rPr>
        <w:t xml:space="preserve"> email </w:t>
      </w:r>
      <w:r w:rsidR="00630AF8" w:rsidRPr="00D06446">
        <w:rPr>
          <w:rFonts w:ascii="Calibri" w:hAnsi="Calibri" w:cs="Calibri"/>
          <w:color w:val="7030A0"/>
          <w:sz w:val="24"/>
          <w:szCs w:val="24"/>
        </w:rPr>
        <w:t xml:space="preserve">it to </w:t>
      </w:r>
      <w:hyperlink r:id="rId12" w:history="1">
        <w:r w:rsidR="00630AF8" w:rsidRPr="00D06446">
          <w:rPr>
            <w:rStyle w:val="Hyperlink"/>
            <w:rFonts w:ascii="Calibri" w:hAnsi="Calibri" w:cs="Calibri"/>
            <w:sz w:val="24"/>
            <w:szCs w:val="24"/>
          </w:rPr>
          <w:t>jill.wakefield@donesc.org</w:t>
        </w:r>
      </w:hyperlink>
      <w:r w:rsidR="00630AF8" w:rsidRPr="00D06446">
        <w:rPr>
          <w:rFonts w:ascii="Calibri" w:hAnsi="Calibri" w:cs="Calibri"/>
          <w:color w:val="7030A0"/>
          <w:sz w:val="24"/>
          <w:szCs w:val="24"/>
        </w:rPr>
        <w:t xml:space="preserve">. </w:t>
      </w:r>
    </w:p>
    <w:p w14:paraId="154CC41A" w14:textId="3D0BCB7F" w:rsidR="005C79AC" w:rsidRDefault="005C79AC" w:rsidP="004E4C01">
      <w:pPr>
        <w:jc w:val="both"/>
        <w:rPr>
          <w:color w:val="7030A0"/>
        </w:rPr>
      </w:pPr>
    </w:p>
    <w:p w14:paraId="45BC673E" w14:textId="4AF20DC4" w:rsidR="005C79AC" w:rsidRDefault="005C79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7849"/>
      </w:tblGrid>
      <w:tr w:rsidR="00B31EAC" w:rsidRPr="00B31EAC" w14:paraId="1D36956A" w14:textId="77777777" w:rsidTr="00FC52D1">
        <w:tc>
          <w:tcPr>
            <w:tcW w:w="1809" w:type="dxa"/>
            <w:shd w:val="clear" w:color="auto" w:fill="ECE4F1" w:themeFill="accent6" w:themeFillTint="33"/>
          </w:tcPr>
          <w:p w14:paraId="589D2E7E" w14:textId="21F62093" w:rsidR="00B31EAC" w:rsidRPr="00D06446" w:rsidRDefault="00B31EAC" w:rsidP="00B31EAC">
            <w:pPr>
              <w:spacing w:before="360" w:after="360"/>
              <w:rPr>
                <w:rFonts w:ascii="Calibri" w:hAnsi="Calibri" w:cs="Calibri"/>
                <w:b/>
              </w:rPr>
            </w:pPr>
            <w:r w:rsidRPr="00D0644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Name of LGB</w:t>
            </w:r>
          </w:p>
        </w:tc>
        <w:tc>
          <w:tcPr>
            <w:tcW w:w="8045" w:type="dxa"/>
          </w:tcPr>
          <w:p w14:paraId="210D7B0E" w14:textId="2AAA022A" w:rsidR="00B31EAC" w:rsidRPr="00B31EAC" w:rsidRDefault="00146C5C" w:rsidP="00B31EAC">
            <w:pPr>
              <w:spacing w:before="360" w:after="360"/>
              <w:rPr>
                <w:b/>
              </w:rPr>
            </w:pPr>
            <w:r>
              <w:rPr>
                <w:b/>
              </w:rPr>
              <w:t>Sandring</w:t>
            </w:r>
            <w:r w:rsidR="00F71603">
              <w:rPr>
                <w:b/>
              </w:rPr>
              <w:t xml:space="preserve">ham Estate </w:t>
            </w:r>
            <w:r w:rsidR="00764F5D">
              <w:rPr>
                <w:b/>
              </w:rPr>
              <w:t>F</w:t>
            </w:r>
            <w:r w:rsidR="00F71603">
              <w:rPr>
                <w:b/>
              </w:rPr>
              <w:t>ederation of Church of England Primary Academies</w:t>
            </w:r>
          </w:p>
        </w:tc>
      </w:tr>
    </w:tbl>
    <w:p w14:paraId="3267CCC1" w14:textId="602FBD02" w:rsidR="004E4C01" w:rsidRDefault="004E4C01" w:rsidP="004E4C01"/>
    <w:p w14:paraId="2272CEE5" w14:textId="77777777" w:rsidR="00B31EAC" w:rsidRDefault="00B31EAC" w:rsidP="004E4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EF8" w:rsidRPr="00C010AA" w14:paraId="4841472E" w14:textId="77777777" w:rsidTr="00C010AA">
        <w:tc>
          <w:tcPr>
            <w:tcW w:w="9628" w:type="dxa"/>
            <w:shd w:val="clear" w:color="auto" w:fill="ECE4F1" w:themeFill="accent6" w:themeFillTint="33"/>
          </w:tcPr>
          <w:p w14:paraId="3D2825DC" w14:textId="79BE4D5C" w:rsidR="00FE6EF8" w:rsidRPr="00C010AA" w:rsidRDefault="00C01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="00313E0A">
              <w:rPr>
                <w:rFonts w:ascii="Calibri" w:hAnsi="Calibri" w:cs="Calibri"/>
                <w:b/>
                <w:bCs/>
                <w:sz w:val="24"/>
                <w:szCs w:val="24"/>
              </w:rPr>
              <w:t>1 What</w:t>
            </w:r>
            <w:r w:rsidR="00F04903" w:rsidRPr="00C010A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has worked well this year for your Local Governing Body?</w:t>
            </w:r>
          </w:p>
        </w:tc>
      </w:tr>
      <w:tr w:rsidR="00FE6EF8" w14:paraId="48135687" w14:textId="77777777" w:rsidTr="00FE6EF8">
        <w:tc>
          <w:tcPr>
            <w:tcW w:w="9628" w:type="dxa"/>
          </w:tcPr>
          <w:p w14:paraId="3A57C86A" w14:textId="11B3427F" w:rsidR="00C010AA" w:rsidRDefault="00C010AA" w:rsidP="00ED4BC1"/>
          <w:p w14:paraId="250AB491" w14:textId="4AAB6E49" w:rsidR="00ED4BC1" w:rsidRDefault="004B2972" w:rsidP="00ED4BC1">
            <w:r>
              <w:t>P</w:t>
            </w:r>
            <w:r w:rsidR="00ED4BC1">
              <w:t>roductive meeting</w:t>
            </w:r>
            <w:r w:rsidR="00A512CC">
              <w:t>s conducted on Zoom</w:t>
            </w:r>
          </w:p>
          <w:p w14:paraId="341456DD" w14:textId="064676AF" w:rsidR="00226730" w:rsidRDefault="00AE6FC4" w:rsidP="00ED4BC1">
            <w:r>
              <w:t>Comprehensive p</w:t>
            </w:r>
            <w:r w:rsidR="008F2BB9">
              <w:t xml:space="preserve">resentations </w:t>
            </w:r>
            <w:r>
              <w:t>from</w:t>
            </w:r>
            <w:r w:rsidR="008F2BB9">
              <w:t xml:space="preserve"> </w:t>
            </w:r>
            <w:r w:rsidR="003617F1">
              <w:t>subject leaders</w:t>
            </w:r>
            <w:r w:rsidR="00226730">
              <w:t xml:space="preserve"> for the purpose of monitoring</w:t>
            </w:r>
          </w:p>
          <w:p w14:paraId="5843D23E" w14:textId="2DB2C588" w:rsidR="001C1075" w:rsidRDefault="00D357F7" w:rsidP="00ED4BC1">
            <w:r>
              <w:t>Virtual m</w:t>
            </w:r>
            <w:r w:rsidR="001C1075">
              <w:t xml:space="preserve">onitoring conducted between governors and staff </w:t>
            </w:r>
          </w:p>
          <w:p w14:paraId="474B2C5A" w14:textId="722D2011" w:rsidR="00421679" w:rsidRDefault="00226730" w:rsidP="00ED4BC1">
            <w:r>
              <w:t xml:space="preserve">Close liaison between </w:t>
            </w:r>
            <w:r w:rsidR="00A50446">
              <w:t>the Head, staff and governors in relation to home-school learning and the recovery curriculum</w:t>
            </w:r>
          </w:p>
          <w:p w14:paraId="48340EB5" w14:textId="6A286DED" w:rsidR="00EA2D59" w:rsidRDefault="00EA2D59" w:rsidP="00ED4BC1">
            <w:r>
              <w:t>Very satisfactory recruiting of</w:t>
            </w:r>
            <w:r w:rsidR="00A90158">
              <w:t xml:space="preserve"> staff for the new academic year</w:t>
            </w:r>
          </w:p>
          <w:p w14:paraId="2C0E186E" w14:textId="75C6D8FB" w:rsidR="00E6778C" w:rsidRDefault="00E6778C" w:rsidP="00ED4BC1">
            <w:r>
              <w:t>Recruitment of new governors satisfactory</w:t>
            </w:r>
          </w:p>
          <w:p w14:paraId="6FD6280B" w14:textId="01D421E1" w:rsidR="009704C7" w:rsidRDefault="00D124F5" w:rsidP="00ED4BC1">
            <w:r>
              <w:t>The communication between the Head and the gover</w:t>
            </w:r>
            <w:r w:rsidR="00447CAE">
              <w:t>ning body has</w:t>
            </w:r>
            <w:r w:rsidR="003521BA">
              <w:t xml:space="preserve"> been</w:t>
            </w:r>
            <w:r w:rsidR="00447CAE">
              <w:t xml:space="preserve"> </w:t>
            </w:r>
            <w:r w:rsidR="00113BFF">
              <w:t>consistent and comprehensive throughout the epidemic.</w:t>
            </w:r>
          </w:p>
          <w:p w14:paraId="42246F1C" w14:textId="2E9A0DA4" w:rsidR="00363CBE" w:rsidRDefault="00363CBE" w:rsidP="00ED4BC1">
            <w:r>
              <w:t xml:space="preserve">Overall, in consideration of the challenges of lockdown, we are more than satisfied that everyone </w:t>
            </w:r>
            <w:r w:rsidR="004D5DF3">
              <w:t>has done their very best to maintain the integrity of the school both academically and socially</w:t>
            </w:r>
            <w:r w:rsidR="0004095B">
              <w:t>. We have, where necessary, been ably supported by our colleagues at DNEAT.</w:t>
            </w:r>
          </w:p>
          <w:p w14:paraId="3BA92156" w14:textId="3CE4C0D5" w:rsidR="005370B6" w:rsidRDefault="00A45EE6" w:rsidP="00ED4BC1">
            <w:r>
              <w:t xml:space="preserve"> </w:t>
            </w:r>
          </w:p>
          <w:p w14:paraId="6DEBB332" w14:textId="77777777" w:rsidR="001C1075" w:rsidRDefault="001C1075" w:rsidP="00ED4BC1"/>
          <w:p w14:paraId="155D3F61" w14:textId="77777777" w:rsidR="00A90158" w:rsidRDefault="00A90158" w:rsidP="00ED4BC1"/>
          <w:p w14:paraId="79F3E222" w14:textId="5F93E1D2" w:rsidR="00A512CC" w:rsidRDefault="000B7E45" w:rsidP="00ED4BC1">
            <w:r>
              <w:t xml:space="preserve"> </w:t>
            </w:r>
            <w:r w:rsidR="008F2BB9">
              <w:t xml:space="preserve"> </w:t>
            </w:r>
          </w:p>
          <w:p w14:paraId="0B435BD2" w14:textId="77777777" w:rsidR="00C010AA" w:rsidRDefault="00C010AA"/>
          <w:p w14:paraId="2A012DA3" w14:textId="77777777" w:rsidR="00C010AA" w:rsidRDefault="00C010AA"/>
          <w:p w14:paraId="68273A59" w14:textId="77777777" w:rsidR="00C010AA" w:rsidRDefault="00C010AA"/>
          <w:p w14:paraId="5C520141" w14:textId="77777777" w:rsidR="00C010AA" w:rsidRDefault="00C010AA"/>
          <w:p w14:paraId="153E3C66" w14:textId="77777777" w:rsidR="00C010AA" w:rsidRDefault="00C010AA"/>
          <w:p w14:paraId="0B549CE3" w14:textId="51070456" w:rsidR="00C010AA" w:rsidRDefault="00C010AA"/>
        </w:tc>
      </w:tr>
    </w:tbl>
    <w:p w14:paraId="1DA506D6" w14:textId="5F03F7C9" w:rsidR="00C010AA" w:rsidRDefault="00C01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0AA" w:rsidRPr="00C010AA" w14:paraId="62B916D2" w14:textId="77777777" w:rsidTr="00200439">
        <w:tc>
          <w:tcPr>
            <w:tcW w:w="9628" w:type="dxa"/>
            <w:shd w:val="clear" w:color="auto" w:fill="ECE4F1" w:themeFill="accent6" w:themeFillTint="33"/>
          </w:tcPr>
          <w:p w14:paraId="1CE0840E" w14:textId="3218A821" w:rsidR="00411542" w:rsidRDefault="00C010AA" w:rsidP="0020043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="00313E0A">
              <w:rPr>
                <w:rFonts w:ascii="Calibri" w:hAnsi="Calibri" w:cs="Calibri"/>
                <w:b/>
                <w:bCs/>
                <w:sz w:val="24"/>
                <w:szCs w:val="24"/>
              </w:rPr>
              <w:t>2 What</w:t>
            </w:r>
            <w:r w:rsidRPr="00C010A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B05D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could have been done better </w:t>
            </w:r>
            <w:r w:rsidR="004115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by </w:t>
            </w:r>
            <w:r w:rsidR="002B05D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your </w:t>
            </w:r>
            <w:r w:rsidRPr="00C010AA">
              <w:rPr>
                <w:rFonts w:ascii="Calibri" w:hAnsi="Calibri" w:cs="Calibri"/>
                <w:b/>
                <w:bCs/>
                <w:sz w:val="24"/>
                <w:szCs w:val="24"/>
              </w:rPr>
              <w:t>Local Governing Body</w:t>
            </w:r>
            <w:r w:rsidR="002B05D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or </w:t>
            </w:r>
            <w:r w:rsidR="004115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by </w:t>
            </w:r>
            <w:r w:rsidR="002B05DA">
              <w:rPr>
                <w:rFonts w:ascii="Calibri" w:hAnsi="Calibri" w:cs="Calibri"/>
                <w:b/>
                <w:bCs/>
                <w:sz w:val="24"/>
                <w:szCs w:val="24"/>
              </w:rPr>
              <w:t>those who support</w:t>
            </w:r>
          </w:p>
          <w:p w14:paraId="012E27CA" w14:textId="7C812984" w:rsidR="00C010AA" w:rsidRPr="00C010AA" w:rsidRDefault="00411542" w:rsidP="0020043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</w:t>
            </w:r>
            <w:r w:rsidR="002B05D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work with you</w:t>
            </w:r>
            <w:r w:rsidR="00C010AA" w:rsidRPr="00C010AA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</w:tr>
      <w:tr w:rsidR="00C010AA" w14:paraId="0684EF37" w14:textId="77777777" w:rsidTr="00200439">
        <w:tc>
          <w:tcPr>
            <w:tcW w:w="9628" w:type="dxa"/>
          </w:tcPr>
          <w:p w14:paraId="71AD5718" w14:textId="77777777" w:rsidR="00C010AA" w:rsidRDefault="00C010AA" w:rsidP="00200439"/>
          <w:p w14:paraId="7DB569F5" w14:textId="268DA7EC" w:rsidR="003C1B4E" w:rsidRDefault="003A4621" w:rsidP="00200439">
            <w:r>
              <w:t xml:space="preserve">Given that </w:t>
            </w:r>
            <w:r w:rsidR="00585391">
              <w:t>the past eighteen months ha</w:t>
            </w:r>
            <w:r w:rsidR="00344112">
              <w:t>s been a</w:t>
            </w:r>
            <w:r w:rsidR="00585391">
              <w:t xml:space="preserve"> learning process for everyone, we are satisfied that </w:t>
            </w:r>
            <w:r w:rsidR="00725563">
              <w:t xml:space="preserve">there was </w:t>
            </w:r>
            <w:r w:rsidR="007A36CC">
              <w:t xml:space="preserve">very little else that we could have done different. </w:t>
            </w:r>
            <w:r w:rsidR="00645354">
              <w:t xml:space="preserve">If anything, we </w:t>
            </w:r>
            <w:r w:rsidR="00062230">
              <w:t xml:space="preserve">could have embraced virtual monitoring at an earlier stage, although we were conscious of </w:t>
            </w:r>
            <w:r w:rsidR="003D289C">
              <w:t xml:space="preserve">not overloading the </w:t>
            </w:r>
            <w:r w:rsidR="00640F95">
              <w:t>staff, as</w:t>
            </w:r>
            <w:r w:rsidR="003D289C">
              <w:t xml:space="preserve"> they too struggled to adjust to a new way of working.</w:t>
            </w:r>
          </w:p>
          <w:p w14:paraId="6EB7F6A9" w14:textId="259307D1" w:rsidR="00640F95" w:rsidRDefault="00640F95" w:rsidP="00200439">
            <w:r>
              <w:t xml:space="preserve">It may be that virtual monitoring may come to be </w:t>
            </w:r>
            <w:r w:rsidR="0070407B">
              <w:t>more commonplace in the future.</w:t>
            </w:r>
          </w:p>
          <w:p w14:paraId="7A26ACDE" w14:textId="77777777" w:rsidR="00594750" w:rsidRDefault="00594750" w:rsidP="00200439"/>
          <w:p w14:paraId="03D24F49" w14:textId="77777777" w:rsidR="00C346B7" w:rsidRDefault="00C346B7" w:rsidP="00200439"/>
          <w:p w14:paraId="79E606A4" w14:textId="77777777" w:rsidR="00E949DB" w:rsidRDefault="00E949DB" w:rsidP="00200439"/>
          <w:p w14:paraId="7C5C654F" w14:textId="77777777" w:rsidR="00C010AA" w:rsidRDefault="00C010AA" w:rsidP="00200439"/>
          <w:p w14:paraId="7FA77684" w14:textId="77777777" w:rsidR="00C010AA" w:rsidRDefault="00C010AA" w:rsidP="00200439"/>
          <w:p w14:paraId="567A98AB" w14:textId="77777777" w:rsidR="00C010AA" w:rsidRDefault="00C010AA" w:rsidP="00200439"/>
          <w:p w14:paraId="383FB58F" w14:textId="77777777" w:rsidR="00C010AA" w:rsidRDefault="00C010AA" w:rsidP="00200439"/>
          <w:p w14:paraId="7F24F5D4" w14:textId="77777777" w:rsidR="00C010AA" w:rsidRDefault="00C010AA" w:rsidP="00200439"/>
          <w:p w14:paraId="47F7BFC6" w14:textId="77777777" w:rsidR="00C010AA" w:rsidRDefault="00C010AA" w:rsidP="00200439"/>
        </w:tc>
      </w:tr>
    </w:tbl>
    <w:p w14:paraId="3645D521" w14:textId="34D9D41E" w:rsidR="00C010AA" w:rsidRDefault="00C01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0AA" w:rsidRPr="00C010AA" w14:paraId="0F4240A4" w14:textId="77777777" w:rsidTr="00200439">
        <w:tc>
          <w:tcPr>
            <w:tcW w:w="9628" w:type="dxa"/>
            <w:shd w:val="clear" w:color="auto" w:fill="ECE4F1" w:themeFill="accent6" w:themeFillTint="33"/>
          </w:tcPr>
          <w:p w14:paraId="0E98996A" w14:textId="31663EDC" w:rsidR="00C010AA" w:rsidRPr="00C010AA" w:rsidRDefault="00C010AA" w:rsidP="0020043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="00313E0A">
              <w:rPr>
                <w:rFonts w:ascii="Calibri" w:hAnsi="Calibri" w:cs="Calibri"/>
                <w:b/>
                <w:bCs/>
                <w:sz w:val="24"/>
                <w:szCs w:val="24"/>
              </w:rPr>
              <w:t>3 What</w:t>
            </w:r>
            <w:r w:rsidRPr="00C010A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115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are </w:t>
            </w:r>
            <w:r w:rsidR="00E06551">
              <w:rPr>
                <w:rFonts w:ascii="Calibri" w:hAnsi="Calibri" w:cs="Calibri"/>
                <w:b/>
                <w:bCs/>
                <w:sz w:val="24"/>
                <w:szCs w:val="24"/>
              </w:rPr>
              <w:t>the 3 key priorities/objectives for your Local Governing Body for 2021-2022</w:t>
            </w:r>
            <w:r w:rsidR="00315DC8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</w:tc>
      </w:tr>
      <w:tr w:rsidR="00C010AA" w14:paraId="0486D917" w14:textId="77777777" w:rsidTr="00200439">
        <w:tc>
          <w:tcPr>
            <w:tcW w:w="9628" w:type="dxa"/>
          </w:tcPr>
          <w:p w14:paraId="7BB691D7" w14:textId="77777777" w:rsidR="00C010AA" w:rsidRDefault="00C010AA" w:rsidP="00200439"/>
          <w:p w14:paraId="60318409" w14:textId="2E9934A0" w:rsidR="009B15DD" w:rsidRDefault="00113BFF" w:rsidP="00113BFF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To</w:t>
            </w:r>
            <w:r w:rsidR="00D50E0C">
              <w:t xml:space="preserve"> ensure that the monitoring programme is satisfactor</w:t>
            </w:r>
            <w:r w:rsidR="008871AC">
              <w:t>ily</w:t>
            </w:r>
            <w:r w:rsidR="00D50E0C">
              <w:t xml:space="preserve"> embedded </w:t>
            </w:r>
            <w:r w:rsidR="009D4AFB">
              <w:t xml:space="preserve">as a key objective in order to </w:t>
            </w:r>
            <w:r w:rsidR="009B15DD">
              <w:t>assess the recovery curriculum</w:t>
            </w:r>
            <w:r w:rsidR="00194136">
              <w:t>.</w:t>
            </w:r>
            <w:r w:rsidR="009D4AFB">
              <w:t xml:space="preserve"> </w:t>
            </w:r>
          </w:p>
          <w:p w14:paraId="2605E323" w14:textId="02BE3EB7" w:rsidR="00C010AA" w:rsidRDefault="000522FE" w:rsidP="00113BFF">
            <w:pPr>
              <w:pStyle w:val="ListParagraph"/>
              <w:numPr>
                <w:ilvl w:val="0"/>
                <w:numId w:val="35"/>
              </w:numPr>
            </w:pPr>
            <w:r>
              <w:t>In cooperation with the Headteacher and staff</w:t>
            </w:r>
            <w:r w:rsidR="00194136">
              <w:t>,</w:t>
            </w:r>
            <w:r>
              <w:t xml:space="preserve"> to </w:t>
            </w:r>
            <w:r w:rsidR="00357E89">
              <w:t xml:space="preserve">monitor the </w:t>
            </w:r>
            <w:r w:rsidR="00AC392D">
              <w:t>academic</w:t>
            </w:r>
            <w:r w:rsidR="00357E89">
              <w:t xml:space="preserve"> progress of the pupils</w:t>
            </w:r>
            <w:r w:rsidR="00AC392D">
              <w:t xml:space="preserve"> in key areas</w:t>
            </w:r>
            <w:r w:rsidR="00357E89">
              <w:t xml:space="preserve"> and to</w:t>
            </w:r>
            <w:r w:rsidR="00D677A5">
              <w:t xml:space="preserve"> identif</w:t>
            </w:r>
            <w:r w:rsidR="00EA47E7">
              <w:t>y any</w:t>
            </w:r>
            <w:r w:rsidR="00D677A5">
              <w:t xml:space="preserve"> gaps generated</w:t>
            </w:r>
            <w:r w:rsidR="007D1CB2">
              <w:t xml:space="preserve"> by</w:t>
            </w:r>
            <w:r w:rsidR="00316626">
              <w:t xml:space="preserve"> the</w:t>
            </w:r>
            <w:r w:rsidR="00194136">
              <w:t xml:space="preserve"> pupil’s absence from the educational environment</w:t>
            </w:r>
            <w:r w:rsidR="00316626">
              <w:t xml:space="preserve"> </w:t>
            </w:r>
            <w:r w:rsidR="00B22BC9">
              <w:t xml:space="preserve"> </w:t>
            </w:r>
            <w:r w:rsidR="00D50E0C">
              <w:t xml:space="preserve"> </w:t>
            </w:r>
          </w:p>
          <w:p w14:paraId="558F938F" w14:textId="5CC7D6B7" w:rsidR="00F16618" w:rsidRDefault="00F16618" w:rsidP="00113BFF">
            <w:pPr>
              <w:pStyle w:val="ListParagraph"/>
              <w:numPr>
                <w:ilvl w:val="0"/>
                <w:numId w:val="35"/>
              </w:numPr>
            </w:pPr>
            <w:r>
              <w:t xml:space="preserve">To </w:t>
            </w:r>
            <w:r w:rsidR="00AC392D">
              <w:t>ensure that</w:t>
            </w:r>
            <w:r w:rsidR="003F6E29">
              <w:t xml:space="preserve"> the provision and support for </w:t>
            </w:r>
            <w:r w:rsidR="00A237A7">
              <w:t xml:space="preserve">SEND </w:t>
            </w:r>
            <w:r w:rsidR="00D7203E">
              <w:t>is appropriately addressed</w:t>
            </w:r>
            <w:r w:rsidR="005A5C3F">
              <w:t xml:space="preserve"> by the governing board, </w:t>
            </w:r>
            <w:r w:rsidR="003F6E29">
              <w:t>especially in</w:t>
            </w:r>
            <w:r w:rsidR="005A5C3F">
              <w:t xml:space="preserve"> the</w:t>
            </w:r>
            <w:r w:rsidR="003F6E29">
              <w:t xml:space="preserve"> light of DNEAT’</w:t>
            </w:r>
            <w:r w:rsidR="005A5C3F">
              <w:t>s</w:t>
            </w:r>
            <w:r w:rsidR="00EA47E7">
              <w:t xml:space="preserve"> key</w:t>
            </w:r>
            <w:r w:rsidR="005A5C3F">
              <w:t xml:space="preserve"> objectives for the coming academic year.</w:t>
            </w:r>
          </w:p>
          <w:p w14:paraId="63F72012" w14:textId="47829A4F" w:rsidR="00F16618" w:rsidRDefault="009B15DD" w:rsidP="00194136">
            <w:pPr>
              <w:ind w:left="360"/>
            </w:pPr>
            <w:r>
              <w:t xml:space="preserve"> </w:t>
            </w:r>
          </w:p>
          <w:p w14:paraId="068FA670" w14:textId="4964A5C7" w:rsidR="00F16618" w:rsidRDefault="00F16618" w:rsidP="00F16618">
            <w:pPr>
              <w:pStyle w:val="ListParagraph"/>
            </w:pPr>
          </w:p>
          <w:p w14:paraId="0A2787E7" w14:textId="77777777" w:rsidR="00C010AA" w:rsidRDefault="00C010AA" w:rsidP="00200439"/>
          <w:p w14:paraId="29955D98" w14:textId="77777777" w:rsidR="00C010AA" w:rsidRDefault="00C010AA" w:rsidP="00200439"/>
          <w:p w14:paraId="62345E4B" w14:textId="77777777" w:rsidR="00C010AA" w:rsidRDefault="00C010AA" w:rsidP="00200439"/>
          <w:p w14:paraId="0E12476E" w14:textId="77777777" w:rsidR="00C010AA" w:rsidRDefault="00C010AA" w:rsidP="00200439"/>
          <w:p w14:paraId="6E4AF4D1" w14:textId="77777777" w:rsidR="00C010AA" w:rsidRDefault="00C010AA" w:rsidP="00200439"/>
          <w:p w14:paraId="4C9ED60F" w14:textId="77777777" w:rsidR="00C010AA" w:rsidRDefault="00C010AA" w:rsidP="00200439"/>
        </w:tc>
      </w:tr>
    </w:tbl>
    <w:p w14:paraId="19A5F444" w14:textId="0216F56D" w:rsidR="00C010AA" w:rsidRDefault="00C01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620" w:rsidRPr="00C010AA" w14:paraId="06D43590" w14:textId="77777777" w:rsidTr="00F82A2C">
        <w:tc>
          <w:tcPr>
            <w:tcW w:w="9628" w:type="dxa"/>
            <w:shd w:val="clear" w:color="auto" w:fill="ECE4F1" w:themeFill="accent6" w:themeFillTint="33"/>
          </w:tcPr>
          <w:p w14:paraId="250D35C3" w14:textId="4600C5A4" w:rsidR="00284620" w:rsidRPr="00C010AA" w:rsidRDefault="00284620" w:rsidP="00F82A2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="00313E0A">
              <w:rPr>
                <w:rFonts w:ascii="Calibri" w:hAnsi="Calibri" w:cs="Calibri"/>
                <w:b/>
                <w:bCs/>
                <w:sz w:val="24"/>
                <w:szCs w:val="24"/>
              </w:rPr>
              <w:t>4 Are</w:t>
            </w:r>
            <w:r w:rsidR="00DA2A4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there any topics on which your LGB would find it useful to have training?</w:t>
            </w:r>
          </w:p>
        </w:tc>
      </w:tr>
      <w:tr w:rsidR="00284620" w14:paraId="2D57ACB3" w14:textId="77777777" w:rsidTr="00F82A2C">
        <w:tc>
          <w:tcPr>
            <w:tcW w:w="9628" w:type="dxa"/>
          </w:tcPr>
          <w:p w14:paraId="16177FE0" w14:textId="77777777" w:rsidR="00284620" w:rsidRDefault="00284620" w:rsidP="00F82A2C"/>
          <w:p w14:paraId="1E916E72" w14:textId="56DFC9FA" w:rsidR="00284620" w:rsidRDefault="00710E85" w:rsidP="00F82A2C">
            <w:r>
              <w:t>Governors would</w:t>
            </w:r>
            <w:r w:rsidR="007C1934">
              <w:t xml:space="preserve"> perhaps</w:t>
            </w:r>
            <w:r>
              <w:t xml:space="preserve"> benefit from training on </w:t>
            </w:r>
            <w:r w:rsidR="007D2672">
              <w:t>SEND and the</w:t>
            </w:r>
            <w:r w:rsidR="00426F39">
              <w:t>ir</w:t>
            </w:r>
            <w:r w:rsidR="007D2672">
              <w:t xml:space="preserve"> role</w:t>
            </w:r>
            <w:r w:rsidR="00426F39">
              <w:t xml:space="preserve"> </w:t>
            </w:r>
            <w:r w:rsidR="007D2672">
              <w:t>in providing the necessary support</w:t>
            </w:r>
            <w:r w:rsidR="00426F39">
              <w:t>.</w:t>
            </w:r>
          </w:p>
          <w:p w14:paraId="6254532F" w14:textId="08229C63" w:rsidR="007C1934" w:rsidRDefault="007C1934" w:rsidP="00F82A2C"/>
          <w:p w14:paraId="00223E5B" w14:textId="77777777" w:rsidR="00FB0700" w:rsidRDefault="00FB0700" w:rsidP="00F82A2C"/>
          <w:p w14:paraId="756B78ED" w14:textId="77777777" w:rsidR="00426F39" w:rsidRDefault="00426F39" w:rsidP="00F82A2C"/>
          <w:p w14:paraId="4C46DC7C" w14:textId="77777777" w:rsidR="00284620" w:rsidRDefault="00284620" w:rsidP="00F82A2C"/>
          <w:p w14:paraId="459031AB" w14:textId="77777777" w:rsidR="00284620" w:rsidRDefault="00284620" w:rsidP="00F82A2C"/>
          <w:p w14:paraId="47CE39FF" w14:textId="77777777" w:rsidR="00284620" w:rsidRDefault="00284620" w:rsidP="00F82A2C"/>
          <w:p w14:paraId="4D93D369" w14:textId="77777777" w:rsidR="00284620" w:rsidRDefault="00284620" w:rsidP="00F82A2C"/>
          <w:p w14:paraId="3B2252F0" w14:textId="77777777" w:rsidR="00284620" w:rsidRDefault="00284620" w:rsidP="00F82A2C"/>
          <w:p w14:paraId="2ED49B54" w14:textId="77777777" w:rsidR="00284620" w:rsidRDefault="00284620" w:rsidP="00F82A2C"/>
        </w:tc>
      </w:tr>
    </w:tbl>
    <w:p w14:paraId="45D204C1" w14:textId="77777777" w:rsidR="00284620" w:rsidRDefault="00284620"/>
    <w:sectPr w:rsidR="00284620" w:rsidSect="00037A6D">
      <w:footerReference w:type="default" r:id="rId13"/>
      <w:pgSz w:w="11906" w:h="16838"/>
      <w:pgMar w:top="1134" w:right="1134" w:bottom="1134" w:left="1134" w:header="709" w:footer="709" w:gutter="0"/>
      <w:pgBorders w:display="firstPage"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7705" w14:textId="77777777" w:rsidR="0060260F" w:rsidRDefault="0060260F" w:rsidP="00592F61">
      <w:pPr>
        <w:spacing w:after="0" w:line="240" w:lineRule="auto"/>
      </w:pPr>
      <w:r>
        <w:separator/>
      </w:r>
    </w:p>
  </w:endnote>
  <w:endnote w:type="continuationSeparator" w:id="0">
    <w:p w14:paraId="2312AC9B" w14:textId="77777777" w:rsidR="0060260F" w:rsidRDefault="0060260F" w:rsidP="005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663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C0637F" w14:textId="72FF1248" w:rsidR="005E335A" w:rsidRDefault="005E33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23B5D" w14:textId="77777777" w:rsidR="00592F61" w:rsidRDefault="0059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4327" w14:textId="77777777" w:rsidR="0060260F" w:rsidRDefault="0060260F" w:rsidP="00592F61">
      <w:pPr>
        <w:spacing w:after="0" w:line="240" w:lineRule="auto"/>
      </w:pPr>
      <w:r>
        <w:separator/>
      </w:r>
    </w:p>
  </w:footnote>
  <w:footnote w:type="continuationSeparator" w:id="0">
    <w:p w14:paraId="3F86646F" w14:textId="77777777" w:rsidR="0060260F" w:rsidRDefault="0060260F" w:rsidP="0059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82"/>
    <w:multiLevelType w:val="hybridMultilevel"/>
    <w:tmpl w:val="A5D695B0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6E9"/>
    <w:multiLevelType w:val="hybridMultilevel"/>
    <w:tmpl w:val="200276F8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54791"/>
    <w:multiLevelType w:val="hybridMultilevel"/>
    <w:tmpl w:val="9EC69C46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392A"/>
    <w:multiLevelType w:val="hybridMultilevel"/>
    <w:tmpl w:val="5FC2068E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3AEB"/>
    <w:multiLevelType w:val="hybridMultilevel"/>
    <w:tmpl w:val="DFF6855C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08A"/>
    <w:multiLevelType w:val="hybridMultilevel"/>
    <w:tmpl w:val="7DD4965E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67177"/>
    <w:multiLevelType w:val="hybridMultilevel"/>
    <w:tmpl w:val="42CCF356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A30DDA"/>
    <w:multiLevelType w:val="hybridMultilevel"/>
    <w:tmpl w:val="B628BC3C"/>
    <w:lvl w:ilvl="0" w:tplc="4088275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37C1A"/>
    <w:multiLevelType w:val="hybridMultilevel"/>
    <w:tmpl w:val="70C6D9DE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7C55"/>
    <w:multiLevelType w:val="hybridMultilevel"/>
    <w:tmpl w:val="5A32B534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25135"/>
    <w:multiLevelType w:val="hybridMultilevel"/>
    <w:tmpl w:val="30325D84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C268B"/>
    <w:multiLevelType w:val="hybridMultilevel"/>
    <w:tmpl w:val="C5A4B032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8CC"/>
    <w:multiLevelType w:val="hybridMultilevel"/>
    <w:tmpl w:val="067E5910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B771B"/>
    <w:multiLevelType w:val="hybridMultilevel"/>
    <w:tmpl w:val="047439E0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94F0E"/>
    <w:multiLevelType w:val="hybridMultilevel"/>
    <w:tmpl w:val="274AAD4C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3085"/>
    <w:multiLevelType w:val="hybridMultilevel"/>
    <w:tmpl w:val="417824E4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A69F9"/>
    <w:multiLevelType w:val="hybridMultilevel"/>
    <w:tmpl w:val="649AC312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C7CAA"/>
    <w:multiLevelType w:val="hybridMultilevel"/>
    <w:tmpl w:val="9C72289A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292A"/>
    <w:multiLevelType w:val="hybridMultilevel"/>
    <w:tmpl w:val="F3664C94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DB4F6A"/>
    <w:multiLevelType w:val="hybridMultilevel"/>
    <w:tmpl w:val="5A3AD984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19F5"/>
    <w:multiLevelType w:val="hybridMultilevel"/>
    <w:tmpl w:val="E440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3CF2"/>
    <w:multiLevelType w:val="hybridMultilevel"/>
    <w:tmpl w:val="8A426ED0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0B6547"/>
    <w:multiLevelType w:val="hybridMultilevel"/>
    <w:tmpl w:val="55D43D60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7F752D"/>
    <w:multiLevelType w:val="hybridMultilevel"/>
    <w:tmpl w:val="F0F6A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1C7E"/>
    <w:multiLevelType w:val="hybridMultilevel"/>
    <w:tmpl w:val="96E685C0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D6D67"/>
    <w:multiLevelType w:val="hybridMultilevel"/>
    <w:tmpl w:val="AC2219FA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7510F"/>
    <w:multiLevelType w:val="hybridMultilevel"/>
    <w:tmpl w:val="C926708C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501F1C"/>
    <w:multiLevelType w:val="hybridMultilevel"/>
    <w:tmpl w:val="36A27172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6374"/>
    <w:multiLevelType w:val="hybridMultilevel"/>
    <w:tmpl w:val="7022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10BB5"/>
    <w:multiLevelType w:val="hybridMultilevel"/>
    <w:tmpl w:val="B0D09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623AC"/>
    <w:multiLevelType w:val="hybridMultilevel"/>
    <w:tmpl w:val="6B5AD698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624EDD"/>
    <w:multiLevelType w:val="hybridMultilevel"/>
    <w:tmpl w:val="6094A65C"/>
    <w:lvl w:ilvl="0" w:tplc="9C32D9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07434"/>
    <w:multiLevelType w:val="hybridMultilevel"/>
    <w:tmpl w:val="748C946E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232931"/>
    <w:multiLevelType w:val="hybridMultilevel"/>
    <w:tmpl w:val="C96267C4"/>
    <w:lvl w:ilvl="0" w:tplc="4088275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B435AE"/>
    <w:multiLevelType w:val="hybridMultilevel"/>
    <w:tmpl w:val="2FE00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28"/>
  </w:num>
  <w:num w:numId="4">
    <w:abstractNumId w:val="13"/>
  </w:num>
  <w:num w:numId="5">
    <w:abstractNumId w:val="2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4"/>
  </w:num>
  <w:num w:numId="13">
    <w:abstractNumId w:val="3"/>
  </w:num>
  <w:num w:numId="14">
    <w:abstractNumId w:val="24"/>
  </w:num>
  <w:num w:numId="15">
    <w:abstractNumId w:val="31"/>
  </w:num>
  <w:num w:numId="16">
    <w:abstractNumId w:val="25"/>
  </w:num>
  <w:num w:numId="17">
    <w:abstractNumId w:val="7"/>
  </w:num>
  <w:num w:numId="18">
    <w:abstractNumId w:val="30"/>
  </w:num>
  <w:num w:numId="19">
    <w:abstractNumId w:val="21"/>
  </w:num>
  <w:num w:numId="20">
    <w:abstractNumId w:val="22"/>
  </w:num>
  <w:num w:numId="21">
    <w:abstractNumId w:val="26"/>
  </w:num>
  <w:num w:numId="22">
    <w:abstractNumId w:val="8"/>
  </w:num>
  <w:num w:numId="23">
    <w:abstractNumId w:val="10"/>
  </w:num>
  <w:num w:numId="24">
    <w:abstractNumId w:val="32"/>
  </w:num>
  <w:num w:numId="25">
    <w:abstractNumId w:val="6"/>
  </w:num>
  <w:num w:numId="26">
    <w:abstractNumId w:val="15"/>
  </w:num>
  <w:num w:numId="27">
    <w:abstractNumId w:val="33"/>
  </w:num>
  <w:num w:numId="28">
    <w:abstractNumId w:val="1"/>
  </w:num>
  <w:num w:numId="29">
    <w:abstractNumId w:val="16"/>
  </w:num>
  <w:num w:numId="30">
    <w:abstractNumId w:val="18"/>
  </w:num>
  <w:num w:numId="31">
    <w:abstractNumId w:val="9"/>
  </w:num>
  <w:num w:numId="32">
    <w:abstractNumId w:val="12"/>
  </w:num>
  <w:num w:numId="33">
    <w:abstractNumId w:val="5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69"/>
    <w:rsid w:val="00037A6D"/>
    <w:rsid w:val="0004095B"/>
    <w:rsid w:val="000522FE"/>
    <w:rsid w:val="00062230"/>
    <w:rsid w:val="000B7E45"/>
    <w:rsid w:val="000C33A9"/>
    <w:rsid w:val="00106781"/>
    <w:rsid w:val="00112FCD"/>
    <w:rsid w:val="00113BFF"/>
    <w:rsid w:val="001146D8"/>
    <w:rsid w:val="00123D34"/>
    <w:rsid w:val="00124412"/>
    <w:rsid w:val="00146C5C"/>
    <w:rsid w:val="00194136"/>
    <w:rsid w:val="001B1F5A"/>
    <w:rsid w:val="001C1075"/>
    <w:rsid w:val="00226730"/>
    <w:rsid w:val="002806B5"/>
    <w:rsid w:val="00284620"/>
    <w:rsid w:val="002B05DA"/>
    <w:rsid w:val="00313E0A"/>
    <w:rsid w:val="00315DC8"/>
    <w:rsid w:val="00316626"/>
    <w:rsid w:val="0032231D"/>
    <w:rsid w:val="00335C69"/>
    <w:rsid w:val="00344112"/>
    <w:rsid w:val="003521BA"/>
    <w:rsid w:val="00357655"/>
    <w:rsid w:val="00357E89"/>
    <w:rsid w:val="003617F1"/>
    <w:rsid w:val="00363CBE"/>
    <w:rsid w:val="00395E96"/>
    <w:rsid w:val="003A00FA"/>
    <w:rsid w:val="003A4621"/>
    <w:rsid w:val="003C1B4E"/>
    <w:rsid w:val="003D289C"/>
    <w:rsid w:val="003F6E29"/>
    <w:rsid w:val="00411542"/>
    <w:rsid w:val="00421679"/>
    <w:rsid w:val="00426F39"/>
    <w:rsid w:val="00447CAE"/>
    <w:rsid w:val="00450985"/>
    <w:rsid w:val="0046136C"/>
    <w:rsid w:val="004B2972"/>
    <w:rsid w:val="004B2CA2"/>
    <w:rsid w:val="004C5508"/>
    <w:rsid w:val="004D5DF3"/>
    <w:rsid w:val="004E4C01"/>
    <w:rsid w:val="004E5D57"/>
    <w:rsid w:val="00506A47"/>
    <w:rsid w:val="00533653"/>
    <w:rsid w:val="005370B6"/>
    <w:rsid w:val="00557725"/>
    <w:rsid w:val="00576259"/>
    <w:rsid w:val="00585391"/>
    <w:rsid w:val="00590598"/>
    <w:rsid w:val="00592F61"/>
    <w:rsid w:val="00594750"/>
    <w:rsid w:val="005A5C3F"/>
    <w:rsid w:val="005B76A9"/>
    <w:rsid w:val="005C79AC"/>
    <w:rsid w:val="005E335A"/>
    <w:rsid w:val="0060260F"/>
    <w:rsid w:val="00630AF8"/>
    <w:rsid w:val="00631282"/>
    <w:rsid w:val="00640F95"/>
    <w:rsid w:val="00644FC7"/>
    <w:rsid w:val="0064507B"/>
    <w:rsid w:val="00645354"/>
    <w:rsid w:val="006565F9"/>
    <w:rsid w:val="006602E7"/>
    <w:rsid w:val="00682722"/>
    <w:rsid w:val="006E4C5B"/>
    <w:rsid w:val="006F448F"/>
    <w:rsid w:val="0070407B"/>
    <w:rsid w:val="00710E85"/>
    <w:rsid w:val="00725563"/>
    <w:rsid w:val="00760ADE"/>
    <w:rsid w:val="00764F5D"/>
    <w:rsid w:val="007A36CC"/>
    <w:rsid w:val="007C1934"/>
    <w:rsid w:val="007D1CB2"/>
    <w:rsid w:val="007D2672"/>
    <w:rsid w:val="00870C1D"/>
    <w:rsid w:val="008871AC"/>
    <w:rsid w:val="008F2BB9"/>
    <w:rsid w:val="00915117"/>
    <w:rsid w:val="009704C7"/>
    <w:rsid w:val="00996B8C"/>
    <w:rsid w:val="009A7862"/>
    <w:rsid w:val="009B15DD"/>
    <w:rsid w:val="009B7586"/>
    <w:rsid w:val="009D4AFB"/>
    <w:rsid w:val="00A237A7"/>
    <w:rsid w:val="00A447E1"/>
    <w:rsid w:val="00A45EE6"/>
    <w:rsid w:val="00A47D0F"/>
    <w:rsid w:val="00A50446"/>
    <w:rsid w:val="00A512CC"/>
    <w:rsid w:val="00A65151"/>
    <w:rsid w:val="00A90158"/>
    <w:rsid w:val="00A933A6"/>
    <w:rsid w:val="00AC392D"/>
    <w:rsid w:val="00AE261E"/>
    <w:rsid w:val="00AE6FC4"/>
    <w:rsid w:val="00B0079B"/>
    <w:rsid w:val="00B222FA"/>
    <w:rsid w:val="00B22BC9"/>
    <w:rsid w:val="00B31EAC"/>
    <w:rsid w:val="00B53151"/>
    <w:rsid w:val="00C010AA"/>
    <w:rsid w:val="00C06B2B"/>
    <w:rsid w:val="00C1045A"/>
    <w:rsid w:val="00C25435"/>
    <w:rsid w:val="00C346B7"/>
    <w:rsid w:val="00CD25CF"/>
    <w:rsid w:val="00CD2F9E"/>
    <w:rsid w:val="00CE71CD"/>
    <w:rsid w:val="00D00F42"/>
    <w:rsid w:val="00D06446"/>
    <w:rsid w:val="00D124F5"/>
    <w:rsid w:val="00D357F7"/>
    <w:rsid w:val="00D37BD9"/>
    <w:rsid w:val="00D50E0C"/>
    <w:rsid w:val="00D677A5"/>
    <w:rsid w:val="00D703AB"/>
    <w:rsid w:val="00D7203E"/>
    <w:rsid w:val="00DA2A4C"/>
    <w:rsid w:val="00DE1261"/>
    <w:rsid w:val="00E06551"/>
    <w:rsid w:val="00E1114C"/>
    <w:rsid w:val="00E14383"/>
    <w:rsid w:val="00E15283"/>
    <w:rsid w:val="00E25A70"/>
    <w:rsid w:val="00E26836"/>
    <w:rsid w:val="00E643BB"/>
    <w:rsid w:val="00E6778C"/>
    <w:rsid w:val="00E949DB"/>
    <w:rsid w:val="00EA2D59"/>
    <w:rsid w:val="00EA47E7"/>
    <w:rsid w:val="00ED4BC1"/>
    <w:rsid w:val="00F04903"/>
    <w:rsid w:val="00F13B55"/>
    <w:rsid w:val="00F16618"/>
    <w:rsid w:val="00F5353F"/>
    <w:rsid w:val="00F56228"/>
    <w:rsid w:val="00F71603"/>
    <w:rsid w:val="00FB0700"/>
    <w:rsid w:val="00FC52D1"/>
    <w:rsid w:val="00FE6E23"/>
    <w:rsid w:val="00FE6EF8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9348"/>
  <w15:docId w15:val="{E05E14D1-70CC-4F03-8B40-CD569B3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61"/>
  </w:style>
  <w:style w:type="paragraph" w:styleId="Footer">
    <w:name w:val="footer"/>
    <w:basedOn w:val="Normal"/>
    <w:link w:val="FooterChar"/>
    <w:uiPriority w:val="99"/>
    <w:unhideWhenUsed/>
    <w:rsid w:val="00592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61"/>
  </w:style>
  <w:style w:type="character" w:styleId="Hyperlink">
    <w:name w:val="Hyperlink"/>
    <w:basedOn w:val="DefaultParagraphFont"/>
    <w:uiPriority w:val="99"/>
    <w:unhideWhenUsed/>
    <w:rsid w:val="00630AF8"/>
    <w:rPr>
      <w:color w:val="4100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ll.wakefield@dones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e65df3-5b96-40e8-b994-ca75deff158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037F02439AB4394A7CAEBE320D567" ma:contentTypeVersion="12" ma:contentTypeDescription="Create a new document." ma:contentTypeScope="" ma:versionID="7a4d71e6c116c34688df7adfdbdabb01">
  <xsd:schema xmlns:xsd="http://www.w3.org/2001/XMLSchema" xmlns:xs="http://www.w3.org/2001/XMLSchema" xmlns:p="http://schemas.microsoft.com/office/2006/metadata/properties" xmlns:ns2="226362b8-3d58-49fc-ad6e-6cd15eecb012" xmlns:ns3="a2e65df3-5b96-40e8-b994-ca75deff158e" targetNamespace="http://schemas.microsoft.com/office/2006/metadata/properties" ma:root="true" ma:fieldsID="046e48c007458e773569ec9482129972" ns2:_="" ns3:_="">
    <xsd:import namespace="226362b8-3d58-49fc-ad6e-6cd15eecb012"/>
    <xsd:import namespace="a2e65df3-5b96-40e8-b994-ca75deff1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362b8-3d58-49fc-ad6e-6cd15eec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5df3-5b96-40e8-b994-ca75deff1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BFCA7-CDBC-4FA2-BC53-1F2240ACCE7A}">
  <ds:schemaRefs>
    <ds:schemaRef ds:uri="http://schemas.microsoft.com/office/2006/metadata/properties"/>
    <ds:schemaRef ds:uri="http://schemas.microsoft.com/office/infopath/2007/PartnerControls"/>
    <ds:schemaRef ds:uri="a2e65df3-5b96-40e8-b994-ca75deff158e"/>
  </ds:schemaRefs>
</ds:datastoreItem>
</file>

<file path=customXml/itemProps2.xml><?xml version="1.0" encoding="utf-8"?>
<ds:datastoreItem xmlns:ds="http://schemas.openxmlformats.org/officeDocument/2006/customXml" ds:itemID="{6826EA88-7325-4F47-B24E-6856DA55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AED53-2589-412C-8F3F-9324FB8D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362b8-3d58-49fc-ad6e-6cd15eecb012"/>
    <ds:schemaRef ds:uri="a2e65df3-5b96-40e8-b994-ca75deff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wakefield</dc:creator>
  <cp:lastModifiedBy>Head - Sandringham and West Newton Church of England Primary Academy</cp:lastModifiedBy>
  <cp:revision>2</cp:revision>
  <cp:lastPrinted>2017-05-12T13:21:00Z</cp:lastPrinted>
  <dcterms:created xsi:type="dcterms:W3CDTF">2021-08-25T10:08:00Z</dcterms:created>
  <dcterms:modified xsi:type="dcterms:W3CDTF">2021-08-25T10:08:00Z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0x010100E40037F02439AB4394A7CAEBE320D567</vt:lpwstr>
  </property>
  <property fmtid="{D5CDD505-2E9C-101B-9397-08002B2CF9AE}" pid="3" name="AuthorIds_UIVersion_512">
    <vt:lpwstr>16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